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ind w:left="0" w:leftChars="0" w:firstLine="0" w:firstLineChars="0"/>
        <w:jc w:val="center"/>
      </w:pPr>
      <w:r>
        <w:rPr>
          <w:rFonts w:hint="eastAsia" w:cs="宋体" w:asciiTheme="majorEastAsia" w:hAnsiTheme="majorEastAsia" w:eastAsiaTheme="majorEastAsia"/>
          <w:b/>
          <w:color w:val="000000"/>
          <w:sz w:val="44"/>
          <w:szCs w:val="44"/>
        </w:rPr>
        <w:t>物业租赁智能用电管理改造升级项目</w:t>
      </w:r>
    </w:p>
    <w:p>
      <w:pPr>
        <w:pStyle w:val="2"/>
        <w:spacing w:line="560" w:lineRule="exact"/>
        <w:ind w:left="0" w:leftChars="0" w:firstLine="0" w:firstLineChars="0"/>
        <w:jc w:val="center"/>
        <w:rPr>
          <w:rFonts w:cs="宋体" w:asciiTheme="majorEastAsia" w:hAnsiTheme="majorEastAsia" w:eastAsiaTheme="majorEastAsia"/>
          <w:b/>
          <w:color w:val="000000"/>
          <w:sz w:val="44"/>
          <w:szCs w:val="44"/>
        </w:rPr>
      </w:pPr>
    </w:p>
    <w:p>
      <w:pPr>
        <w:pStyle w:val="2"/>
        <w:spacing w:line="560" w:lineRule="exact"/>
        <w:ind w:left="0" w:leftChars="0" w:firstLine="0" w:firstLineChars="0"/>
        <w:jc w:val="center"/>
        <w:rPr>
          <w:rFonts w:cs="宋体" w:asciiTheme="majorEastAsia" w:hAnsiTheme="majorEastAsia" w:eastAsiaTheme="majorEastAsia"/>
          <w:b/>
          <w:color w:val="000000"/>
          <w:sz w:val="44"/>
          <w:szCs w:val="44"/>
        </w:rPr>
      </w:pPr>
    </w:p>
    <w:p>
      <w:pPr>
        <w:pStyle w:val="2"/>
        <w:spacing w:line="560" w:lineRule="exact"/>
        <w:ind w:left="0" w:leftChars="0" w:firstLine="0" w:firstLineChars="0"/>
        <w:jc w:val="center"/>
        <w:rPr>
          <w:rFonts w:cs="宋体" w:asciiTheme="majorEastAsia" w:hAnsiTheme="majorEastAsia" w:eastAsiaTheme="majorEastAsia"/>
          <w:b/>
          <w:color w:val="000000"/>
          <w:sz w:val="44"/>
          <w:szCs w:val="44"/>
        </w:rPr>
      </w:pPr>
    </w:p>
    <w:p>
      <w:pPr>
        <w:pStyle w:val="2"/>
        <w:spacing w:line="560" w:lineRule="exact"/>
        <w:ind w:left="0" w:leftChars="0" w:firstLine="0" w:firstLineChars="0"/>
        <w:jc w:val="center"/>
        <w:rPr>
          <w:rFonts w:cs="宋体" w:asciiTheme="majorEastAsia" w:hAnsiTheme="majorEastAsia" w:eastAsiaTheme="majorEastAsia"/>
          <w:b/>
          <w:color w:val="000000"/>
          <w:sz w:val="44"/>
          <w:szCs w:val="44"/>
        </w:rPr>
      </w:pPr>
    </w:p>
    <w:p>
      <w:pPr>
        <w:jc w:val="center"/>
        <w:rPr>
          <w:rFonts w:cs="宋体" w:asciiTheme="majorEastAsia" w:hAnsiTheme="majorEastAsia" w:eastAsiaTheme="majorEastAsia"/>
          <w:b/>
          <w:color w:val="000000"/>
          <w:sz w:val="96"/>
          <w:szCs w:val="96"/>
        </w:rPr>
      </w:pPr>
      <w:r>
        <w:rPr>
          <w:rFonts w:hint="eastAsia" w:cs="宋体" w:asciiTheme="majorEastAsia" w:hAnsiTheme="majorEastAsia" w:eastAsiaTheme="majorEastAsia"/>
          <w:b/>
          <w:color w:val="000000"/>
          <w:sz w:val="96"/>
          <w:szCs w:val="96"/>
        </w:rPr>
        <w:t>招</w:t>
      </w:r>
      <w:r>
        <w:rPr>
          <w:rFonts w:cs="宋体" w:asciiTheme="majorEastAsia" w:hAnsiTheme="majorEastAsia" w:eastAsiaTheme="majorEastAsia"/>
          <w:b/>
          <w:color w:val="000000"/>
          <w:sz w:val="96"/>
          <w:szCs w:val="96"/>
        </w:rPr>
        <w:t xml:space="preserve"> </w:t>
      </w:r>
      <w:r>
        <w:rPr>
          <w:rFonts w:hint="eastAsia" w:cs="宋体" w:asciiTheme="majorEastAsia" w:hAnsiTheme="majorEastAsia" w:eastAsiaTheme="majorEastAsia"/>
          <w:b/>
          <w:color w:val="000000"/>
          <w:sz w:val="96"/>
          <w:szCs w:val="96"/>
        </w:rPr>
        <w:t>标</w:t>
      </w:r>
      <w:r>
        <w:rPr>
          <w:rFonts w:cs="宋体" w:asciiTheme="majorEastAsia" w:hAnsiTheme="majorEastAsia" w:eastAsiaTheme="majorEastAsia"/>
          <w:b/>
          <w:color w:val="000000"/>
          <w:sz w:val="96"/>
          <w:szCs w:val="96"/>
        </w:rPr>
        <w:t xml:space="preserve"> </w:t>
      </w:r>
      <w:r>
        <w:rPr>
          <w:rFonts w:hint="eastAsia" w:cs="宋体" w:asciiTheme="majorEastAsia" w:hAnsiTheme="majorEastAsia" w:eastAsiaTheme="majorEastAsia"/>
          <w:b/>
          <w:color w:val="000000"/>
          <w:sz w:val="96"/>
          <w:szCs w:val="96"/>
        </w:rPr>
        <w:t>文</w:t>
      </w:r>
      <w:r>
        <w:rPr>
          <w:rFonts w:cs="宋体" w:asciiTheme="majorEastAsia" w:hAnsiTheme="majorEastAsia" w:eastAsiaTheme="majorEastAsia"/>
          <w:b/>
          <w:color w:val="000000"/>
          <w:sz w:val="96"/>
          <w:szCs w:val="96"/>
        </w:rPr>
        <w:t xml:space="preserve"> </w:t>
      </w:r>
      <w:r>
        <w:rPr>
          <w:rFonts w:hint="eastAsia" w:cs="宋体" w:asciiTheme="majorEastAsia" w:hAnsiTheme="majorEastAsia" w:eastAsiaTheme="majorEastAsia"/>
          <w:b/>
          <w:color w:val="000000"/>
          <w:sz w:val="96"/>
          <w:szCs w:val="96"/>
        </w:rPr>
        <w:t>件</w:t>
      </w:r>
    </w:p>
    <w:p>
      <w:pPr>
        <w:spacing w:line="560" w:lineRule="exact"/>
        <w:jc w:val="center"/>
        <w:rPr>
          <w:rFonts w:hint="default" w:cs="宋体" w:asciiTheme="majorEastAsia" w:hAnsiTheme="majorEastAsia" w:eastAsiaTheme="majorEastAsia"/>
          <w:bCs/>
          <w:color w:val="000000"/>
          <w:sz w:val="32"/>
          <w:szCs w:val="32"/>
          <w:lang w:val="en-US" w:eastAsia="zh-CN"/>
        </w:rPr>
      </w:pPr>
      <w:r>
        <w:rPr>
          <w:rFonts w:hint="eastAsia" w:cs="宋体" w:asciiTheme="majorEastAsia" w:hAnsiTheme="majorEastAsia" w:eastAsiaTheme="majorEastAsia"/>
          <w:bCs/>
          <w:color w:val="000000"/>
          <w:sz w:val="32"/>
          <w:szCs w:val="32"/>
        </w:rPr>
        <w:t>项目编号：HBXYZB（2020）</w:t>
      </w:r>
      <w:r>
        <w:rPr>
          <w:rFonts w:hint="eastAsia" w:cs="宋体" w:asciiTheme="majorEastAsia" w:hAnsiTheme="majorEastAsia" w:eastAsiaTheme="majorEastAsia"/>
          <w:bCs/>
          <w:color w:val="000000"/>
          <w:sz w:val="32"/>
          <w:szCs w:val="32"/>
          <w:lang w:val="en-US" w:eastAsia="zh-CN"/>
        </w:rPr>
        <w:t>263</w:t>
      </w:r>
    </w:p>
    <w:p>
      <w:pPr>
        <w:spacing w:line="560" w:lineRule="exact"/>
        <w:jc w:val="center"/>
        <w:rPr>
          <w:rFonts w:cs="宋体" w:asciiTheme="majorEastAsia" w:hAnsiTheme="majorEastAsia" w:eastAsiaTheme="majorEastAsia"/>
          <w:bCs/>
          <w:color w:val="000000"/>
          <w:sz w:val="32"/>
          <w:szCs w:val="32"/>
        </w:rPr>
      </w:pPr>
    </w:p>
    <w:p>
      <w:pPr>
        <w:spacing w:line="560" w:lineRule="exact"/>
        <w:jc w:val="center"/>
        <w:rPr>
          <w:rFonts w:cs="宋体" w:asciiTheme="majorEastAsia" w:hAnsiTheme="majorEastAsia" w:eastAsiaTheme="majorEastAsia"/>
          <w:bCs/>
          <w:color w:val="000000"/>
          <w:sz w:val="32"/>
          <w:szCs w:val="32"/>
        </w:rPr>
      </w:pPr>
    </w:p>
    <w:p>
      <w:pPr>
        <w:spacing w:line="560" w:lineRule="exact"/>
        <w:jc w:val="center"/>
        <w:rPr>
          <w:rFonts w:cs="宋体" w:asciiTheme="majorEastAsia" w:hAnsiTheme="majorEastAsia" w:eastAsiaTheme="majorEastAsia"/>
          <w:bCs/>
          <w:color w:val="000000"/>
          <w:sz w:val="32"/>
          <w:szCs w:val="32"/>
        </w:rPr>
      </w:pPr>
    </w:p>
    <w:p>
      <w:pPr>
        <w:spacing w:line="560" w:lineRule="exact"/>
        <w:jc w:val="center"/>
        <w:rPr>
          <w:rFonts w:cs="宋体" w:asciiTheme="majorEastAsia" w:hAnsiTheme="majorEastAsia" w:eastAsiaTheme="majorEastAsia"/>
          <w:bCs/>
          <w:color w:val="000000"/>
          <w:sz w:val="32"/>
          <w:szCs w:val="32"/>
        </w:rPr>
      </w:pPr>
      <w:bookmarkStart w:id="0" w:name="_Toc18603030"/>
      <w:bookmarkStart w:id="1" w:name="_Toc42015323"/>
      <w:bookmarkStart w:id="2" w:name="_Toc18119"/>
    </w:p>
    <w:p>
      <w:pPr>
        <w:spacing w:line="560" w:lineRule="exact"/>
        <w:jc w:val="center"/>
        <w:rPr>
          <w:rFonts w:cs="宋体" w:asciiTheme="majorEastAsia" w:hAnsiTheme="majorEastAsia" w:eastAsiaTheme="majorEastAsia"/>
          <w:bCs/>
          <w:color w:val="000000"/>
          <w:sz w:val="32"/>
          <w:szCs w:val="32"/>
        </w:rPr>
      </w:pPr>
    </w:p>
    <w:p>
      <w:pPr>
        <w:pStyle w:val="2"/>
        <w:spacing w:line="560" w:lineRule="exact"/>
        <w:ind w:left="0" w:leftChars="0" w:firstLine="0" w:firstLineChars="0"/>
        <w:rPr>
          <w:rFonts w:cs="宋体" w:asciiTheme="majorEastAsia" w:hAnsiTheme="majorEastAsia" w:eastAsiaTheme="majorEastAsia"/>
          <w:bCs/>
          <w:color w:val="000000"/>
          <w:sz w:val="30"/>
          <w:szCs w:val="30"/>
        </w:rPr>
      </w:pPr>
    </w:p>
    <w:p>
      <w:pPr>
        <w:pStyle w:val="2"/>
        <w:spacing w:line="560" w:lineRule="exact"/>
        <w:ind w:left="0" w:leftChars="0" w:firstLine="0" w:firstLineChars="0"/>
        <w:rPr>
          <w:rFonts w:cs="宋体" w:asciiTheme="majorEastAsia" w:hAnsiTheme="majorEastAsia" w:eastAsiaTheme="majorEastAsia"/>
          <w:bCs/>
          <w:color w:val="000000"/>
          <w:sz w:val="30"/>
          <w:szCs w:val="30"/>
        </w:rPr>
      </w:pPr>
    </w:p>
    <w:p>
      <w:pPr>
        <w:pStyle w:val="2"/>
        <w:spacing w:line="560" w:lineRule="exact"/>
        <w:ind w:left="0" w:leftChars="0" w:firstLine="600"/>
      </w:pPr>
      <w:r>
        <w:rPr>
          <w:rFonts w:hint="eastAsia" w:cs="宋体" w:asciiTheme="majorEastAsia" w:hAnsiTheme="majorEastAsia" w:eastAsiaTheme="majorEastAsia"/>
          <w:bCs/>
          <w:color w:val="000000"/>
          <w:sz w:val="30"/>
          <w:szCs w:val="30"/>
        </w:rPr>
        <w:t>招</w:t>
      </w:r>
      <w:r>
        <w:rPr>
          <w:rFonts w:cs="宋体" w:asciiTheme="majorEastAsia" w:hAnsiTheme="majorEastAsia" w:eastAsiaTheme="majorEastAsia"/>
          <w:bCs/>
          <w:color w:val="000000"/>
          <w:sz w:val="30"/>
          <w:szCs w:val="30"/>
        </w:rPr>
        <w:t xml:space="preserve">   </w:t>
      </w:r>
      <w:r>
        <w:rPr>
          <w:rFonts w:hint="eastAsia" w:cs="宋体" w:asciiTheme="majorEastAsia" w:hAnsiTheme="majorEastAsia" w:eastAsiaTheme="majorEastAsia"/>
          <w:bCs/>
          <w:color w:val="000000"/>
          <w:sz w:val="30"/>
          <w:szCs w:val="30"/>
        </w:rPr>
        <w:t>标</w:t>
      </w:r>
      <w:r>
        <w:rPr>
          <w:rFonts w:cs="宋体" w:asciiTheme="majorEastAsia" w:hAnsiTheme="majorEastAsia" w:eastAsiaTheme="majorEastAsia"/>
          <w:bCs/>
          <w:color w:val="000000"/>
          <w:sz w:val="30"/>
          <w:szCs w:val="30"/>
        </w:rPr>
        <w:t xml:space="preserve">   </w:t>
      </w:r>
      <w:r>
        <w:rPr>
          <w:rFonts w:hint="eastAsia" w:cs="宋体" w:asciiTheme="majorEastAsia" w:hAnsiTheme="majorEastAsia" w:eastAsiaTheme="majorEastAsia"/>
          <w:bCs/>
          <w:color w:val="000000"/>
          <w:sz w:val="30"/>
          <w:szCs w:val="30"/>
        </w:rPr>
        <w:t>人：</w:t>
      </w:r>
      <w:r>
        <w:rPr>
          <w:rFonts w:cs="宋体" w:asciiTheme="majorEastAsia" w:hAnsiTheme="majorEastAsia" w:eastAsiaTheme="majorEastAsia"/>
          <w:bCs/>
          <w:color w:val="000000"/>
          <w:sz w:val="30"/>
          <w:szCs w:val="30"/>
          <w:u w:val="single"/>
        </w:rPr>
        <w:t xml:space="preserve"> </w:t>
      </w:r>
      <w:r>
        <w:rPr>
          <w:rFonts w:hint="eastAsia" w:cs="宋体" w:asciiTheme="majorEastAsia" w:hAnsiTheme="majorEastAsia" w:eastAsiaTheme="majorEastAsia"/>
          <w:bCs/>
          <w:color w:val="000000"/>
          <w:sz w:val="30"/>
          <w:szCs w:val="30"/>
          <w:u w:val="single"/>
        </w:rPr>
        <w:t>湖北宜昌交运集团股份有限公司</w:t>
      </w:r>
      <w:r>
        <w:rPr>
          <w:rFonts w:cs="宋体" w:asciiTheme="majorEastAsia" w:hAnsiTheme="majorEastAsia" w:eastAsiaTheme="majorEastAsia"/>
          <w:bCs/>
          <w:color w:val="000000"/>
          <w:sz w:val="30"/>
          <w:szCs w:val="30"/>
          <w:u w:val="single"/>
        </w:rPr>
        <w:t xml:space="preserve"> </w:t>
      </w:r>
      <w:r>
        <w:rPr>
          <w:rFonts w:hint="eastAsia" w:cs="宋体" w:asciiTheme="majorEastAsia" w:hAnsiTheme="majorEastAsia" w:eastAsiaTheme="majorEastAsia"/>
          <w:bCs/>
          <w:color w:val="000000"/>
          <w:sz w:val="30"/>
          <w:szCs w:val="30"/>
        </w:rPr>
        <w:t>（盖</w:t>
      </w:r>
      <w:r>
        <w:rPr>
          <w:rFonts w:cs="宋体" w:asciiTheme="majorEastAsia" w:hAnsiTheme="majorEastAsia" w:eastAsiaTheme="majorEastAsia"/>
          <w:bCs/>
          <w:color w:val="000000"/>
          <w:sz w:val="30"/>
          <w:szCs w:val="30"/>
        </w:rPr>
        <w:t xml:space="preserve">    </w:t>
      </w:r>
      <w:r>
        <w:rPr>
          <w:rFonts w:hint="eastAsia" w:cs="宋体" w:asciiTheme="majorEastAsia" w:hAnsiTheme="majorEastAsia" w:eastAsiaTheme="majorEastAsia"/>
          <w:bCs/>
          <w:color w:val="000000"/>
          <w:sz w:val="30"/>
          <w:szCs w:val="30"/>
        </w:rPr>
        <w:t>章）</w:t>
      </w:r>
      <w:bookmarkEnd w:id="0"/>
      <w:bookmarkEnd w:id="1"/>
      <w:bookmarkEnd w:id="2"/>
    </w:p>
    <w:p>
      <w:pPr>
        <w:spacing w:line="560" w:lineRule="exact"/>
        <w:rPr>
          <w:rFonts w:cs="宋体" w:asciiTheme="majorEastAsia" w:hAnsiTheme="majorEastAsia" w:eastAsiaTheme="majorEastAsia"/>
          <w:bCs/>
          <w:color w:val="000000"/>
          <w:sz w:val="30"/>
          <w:szCs w:val="30"/>
        </w:rPr>
      </w:pPr>
    </w:p>
    <w:p>
      <w:pPr>
        <w:spacing w:line="560" w:lineRule="exact"/>
        <w:ind w:firstLine="600" w:firstLineChars="200"/>
      </w:pPr>
      <w:r>
        <w:rPr>
          <w:rFonts w:hint="eastAsia" w:cs="宋体" w:asciiTheme="majorEastAsia" w:hAnsiTheme="majorEastAsia" w:eastAsiaTheme="majorEastAsia"/>
          <w:bCs/>
          <w:color w:val="000000"/>
          <w:sz w:val="30"/>
          <w:szCs w:val="30"/>
        </w:rPr>
        <w:t>招标代理机构：</w:t>
      </w:r>
      <w:r>
        <w:rPr>
          <w:rFonts w:cs="宋体" w:asciiTheme="majorEastAsia" w:hAnsiTheme="majorEastAsia" w:eastAsiaTheme="majorEastAsia"/>
          <w:bCs/>
          <w:color w:val="000000"/>
          <w:sz w:val="30"/>
          <w:szCs w:val="30"/>
          <w:u w:val="single"/>
        </w:rPr>
        <w:t xml:space="preserve">   </w:t>
      </w:r>
      <w:r>
        <w:rPr>
          <w:rFonts w:hint="eastAsia" w:cs="宋体" w:asciiTheme="majorEastAsia" w:hAnsiTheme="majorEastAsia" w:eastAsiaTheme="majorEastAsia"/>
          <w:bCs/>
          <w:color w:val="000000"/>
          <w:sz w:val="30"/>
          <w:szCs w:val="30"/>
          <w:u w:val="single"/>
        </w:rPr>
        <w:t xml:space="preserve">湖北兴焱工程咨询有限公司 </w:t>
      </w:r>
      <w:r>
        <w:rPr>
          <w:rFonts w:cs="宋体" w:asciiTheme="majorEastAsia" w:hAnsiTheme="majorEastAsia" w:eastAsiaTheme="majorEastAsia"/>
          <w:bCs/>
          <w:color w:val="000000"/>
          <w:sz w:val="30"/>
          <w:szCs w:val="30"/>
          <w:u w:val="single"/>
        </w:rPr>
        <w:t xml:space="preserve">  </w:t>
      </w:r>
      <w:r>
        <w:rPr>
          <w:rFonts w:hint="eastAsia" w:cs="宋体" w:asciiTheme="majorEastAsia" w:hAnsiTheme="majorEastAsia" w:eastAsiaTheme="majorEastAsia"/>
          <w:bCs/>
          <w:color w:val="000000"/>
          <w:sz w:val="30"/>
          <w:szCs w:val="30"/>
        </w:rPr>
        <w:t>（盖</w:t>
      </w:r>
      <w:r>
        <w:rPr>
          <w:rFonts w:cs="宋体" w:asciiTheme="majorEastAsia" w:hAnsiTheme="majorEastAsia" w:eastAsiaTheme="majorEastAsia"/>
          <w:bCs/>
          <w:color w:val="000000"/>
          <w:sz w:val="30"/>
          <w:szCs w:val="30"/>
        </w:rPr>
        <w:t xml:space="preserve">    </w:t>
      </w:r>
      <w:r>
        <w:rPr>
          <w:rFonts w:hint="eastAsia" w:cs="宋体" w:asciiTheme="majorEastAsia" w:hAnsiTheme="majorEastAsia" w:eastAsiaTheme="majorEastAsia"/>
          <w:bCs/>
          <w:color w:val="000000"/>
          <w:sz w:val="30"/>
          <w:szCs w:val="30"/>
        </w:rPr>
        <w:t>章）</w:t>
      </w:r>
    </w:p>
    <w:p>
      <w:pPr>
        <w:spacing w:line="560" w:lineRule="exact"/>
        <w:jc w:val="center"/>
        <w:rPr>
          <w:rFonts w:cs="宋体" w:asciiTheme="majorEastAsia" w:hAnsiTheme="majorEastAsia" w:eastAsiaTheme="majorEastAsia"/>
          <w:b/>
          <w:color w:val="000000"/>
          <w:sz w:val="30"/>
          <w:szCs w:val="30"/>
        </w:rPr>
      </w:pPr>
    </w:p>
    <w:p>
      <w:pPr>
        <w:pStyle w:val="2"/>
      </w:pPr>
    </w:p>
    <w:p>
      <w:pPr>
        <w:spacing w:line="560" w:lineRule="exact"/>
        <w:jc w:val="center"/>
        <w:rPr>
          <w:rFonts w:cs="宋体" w:asciiTheme="majorEastAsia" w:hAnsiTheme="majorEastAsia" w:eastAsiaTheme="majorEastAsia"/>
          <w:b/>
          <w:color w:val="000000"/>
          <w:sz w:val="30"/>
          <w:szCs w:val="30"/>
        </w:rPr>
      </w:pPr>
      <w:r>
        <w:rPr>
          <w:rFonts w:hint="eastAsia" w:cs="宋体" w:asciiTheme="majorEastAsia" w:hAnsiTheme="majorEastAsia" w:eastAsiaTheme="majorEastAsia"/>
          <w:b/>
          <w:color w:val="000000"/>
          <w:sz w:val="30"/>
          <w:szCs w:val="30"/>
        </w:rPr>
        <w:t>二○二○年十二月</w:t>
      </w:r>
    </w:p>
    <w:p>
      <w:pPr>
        <w:spacing w:line="560" w:lineRule="exact"/>
        <w:jc w:val="center"/>
        <w:rPr>
          <w:rFonts w:cs="宋体" w:asciiTheme="majorEastAsia" w:hAnsiTheme="majorEastAsia" w:eastAsiaTheme="majorEastAsia"/>
          <w:color w:val="000000"/>
        </w:rPr>
        <w:sectPr>
          <w:pgSz w:w="11906" w:h="16838"/>
          <w:pgMar w:top="2098" w:right="1474" w:bottom="1985" w:left="1588" w:header="851" w:footer="992" w:gutter="0"/>
          <w:pgNumType w:fmt="upperRoman" w:start="1"/>
          <w:cols w:space="720" w:num="1"/>
          <w:docGrid w:type="lines" w:linePitch="312" w:charSpace="0"/>
        </w:sectPr>
      </w:pPr>
    </w:p>
    <w:p>
      <w:pPr>
        <w:pStyle w:val="164"/>
        <w:spacing w:before="0" w:line="560" w:lineRule="exact"/>
        <w:jc w:val="center"/>
        <w:rPr>
          <w:rFonts w:ascii="宋体" w:hAnsi="宋体" w:cs="宋体"/>
          <w:color w:val="000000"/>
          <w:sz w:val="36"/>
          <w:szCs w:val="36"/>
        </w:rPr>
      </w:pPr>
      <w:bookmarkStart w:id="3" w:name="_Toc16742"/>
      <w:bookmarkStart w:id="4" w:name="_Toc522293502"/>
      <w:bookmarkStart w:id="5" w:name="_Toc20741"/>
      <w:r>
        <w:rPr>
          <w:rFonts w:hint="eastAsia" w:ascii="宋体" w:hAnsi="宋体" w:cs="宋体"/>
          <w:color w:val="000000"/>
          <w:sz w:val="36"/>
          <w:szCs w:val="36"/>
          <w:lang w:val="zh-CN"/>
        </w:rPr>
        <w:t>目</w:t>
      </w:r>
      <w:r>
        <w:rPr>
          <w:rFonts w:ascii="宋体" w:hAnsi="宋体" w:cs="宋体"/>
          <w:color w:val="000000"/>
          <w:sz w:val="36"/>
          <w:szCs w:val="36"/>
        </w:rPr>
        <w:t xml:space="preserve">   </w:t>
      </w:r>
      <w:r>
        <w:rPr>
          <w:rFonts w:ascii="宋体" w:hAnsi="宋体" w:cs="宋体"/>
          <w:color w:val="000000"/>
          <w:sz w:val="36"/>
          <w:szCs w:val="36"/>
          <w:lang w:val="zh-CN"/>
        </w:rPr>
        <w:t xml:space="preserve"> 录</w:t>
      </w:r>
      <w:bookmarkEnd w:id="3"/>
    </w:p>
    <w:p>
      <w:pPr>
        <w:pStyle w:val="32"/>
        <w:tabs>
          <w:tab w:val="right" w:leader="dot" w:pos="8902"/>
          <w:tab w:val="clear" w:pos="8296"/>
        </w:tabs>
        <w:spacing w:line="560" w:lineRule="exact"/>
        <w:ind w:left="0" w:leftChars="0"/>
        <w:rPr>
          <w:b w:val="0"/>
          <w:bCs/>
          <w:sz w:val="28"/>
          <w:szCs w:val="28"/>
        </w:rPr>
      </w:pPr>
      <w:r>
        <w:rPr>
          <w:rFonts w:hint="eastAsia" w:ascii="宋体" w:hAnsi="宋体" w:cs="宋体"/>
          <w:color w:val="000000"/>
          <w:sz w:val="28"/>
          <w:szCs w:val="28"/>
        </w:rPr>
        <w:fldChar w:fldCharType="begin"/>
      </w:r>
      <w:r>
        <w:rPr>
          <w:rFonts w:ascii="宋体" w:hAnsi="宋体" w:cs="宋体"/>
          <w:color w:val="000000"/>
          <w:sz w:val="28"/>
          <w:szCs w:val="28"/>
        </w:rPr>
        <w:instrText xml:space="preserve"> TOC \o "1-3" \h \z \u </w:instrText>
      </w:r>
      <w:r>
        <w:rPr>
          <w:rFonts w:hint="eastAsia" w:ascii="宋体" w:hAnsi="宋体" w:cs="宋体"/>
          <w:color w:val="000000"/>
          <w:sz w:val="28"/>
          <w:szCs w:val="28"/>
        </w:rPr>
        <w:fldChar w:fldCharType="separate"/>
      </w:r>
    </w:p>
    <w:p>
      <w:pPr>
        <w:pStyle w:val="32"/>
        <w:tabs>
          <w:tab w:val="right" w:leader="dot" w:pos="8902"/>
          <w:tab w:val="clear" w:pos="8296"/>
        </w:tabs>
        <w:spacing w:line="560" w:lineRule="exact"/>
        <w:ind w:left="0" w:leftChars="0"/>
        <w:rPr>
          <w:b w:val="0"/>
          <w:bCs/>
          <w:sz w:val="28"/>
          <w:szCs w:val="28"/>
        </w:rPr>
      </w:pPr>
      <w:r>
        <w:fldChar w:fldCharType="begin"/>
      </w:r>
      <w:r>
        <w:instrText xml:space="preserve"> HYPERLINK \l "_Toc18376" </w:instrText>
      </w:r>
      <w:r>
        <w:fldChar w:fldCharType="separate"/>
      </w:r>
      <w:r>
        <w:rPr>
          <w:rFonts w:hint="eastAsia"/>
          <w:b w:val="0"/>
          <w:bCs/>
          <w:sz w:val="28"/>
          <w:szCs w:val="28"/>
        </w:rPr>
        <w:t>第一章</w:t>
      </w:r>
      <w:r>
        <w:rPr>
          <w:b w:val="0"/>
          <w:bCs/>
          <w:sz w:val="28"/>
          <w:szCs w:val="28"/>
        </w:rPr>
        <w:t xml:space="preserve">  </w:t>
      </w:r>
      <w:r>
        <w:rPr>
          <w:rFonts w:hint="eastAsia"/>
          <w:b w:val="0"/>
          <w:bCs/>
          <w:sz w:val="28"/>
          <w:szCs w:val="28"/>
        </w:rPr>
        <w:t>招标公告</w:t>
      </w:r>
      <w:r>
        <w:rPr>
          <w:b w:val="0"/>
          <w:bCs/>
          <w:sz w:val="28"/>
          <w:szCs w:val="28"/>
        </w:rPr>
        <w:tab/>
      </w:r>
      <w:r>
        <w:rPr>
          <w:b w:val="0"/>
          <w:bCs/>
          <w:sz w:val="28"/>
          <w:szCs w:val="28"/>
        </w:rPr>
        <w:fldChar w:fldCharType="begin"/>
      </w:r>
      <w:r>
        <w:rPr>
          <w:b w:val="0"/>
          <w:bCs/>
          <w:sz w:val="28"/>
          <w:szCs w:val="28"/>
        </w:rPr>
        <w:instrText xml:space="preserve"> PAGEREF _Toc18376 </w:instrText>
      </w:r>
      <w:r>
        <w:rPr>
          <w:b w:val="0"/>
          <w:bCs/>
          <w:sz w:val="28"/>
          <w:szCs w:val="28"/>
        </w:rPr>
        <w:fldChar w:fldCharType="separate"/>
      </w:r>
      <w:r>
        <w:rPr>
          <w:b w:val="0"/>
          <w:bCs/>
          <w:sz w:val="28"/>
          <w:szCs w:val="28"/>
        </w:rPr>
        <w:t>3</w:t>
      </w:r>
      <w:r>
        <w:rPr>
          <w:b w:val="0"/>
          <w:bCs/>
          <w:sz w:val="28"/>
          <w:szCs w:val="28"/>
        </w:rPr>
        <w:fldChar w:fldCharType="end"/>
      </w:r>
      <w:r>
        <w:rPr>
          <w:b w:val="0"/>
          <w:bCs/>
          <w:sz w:val="28"/>
          <w:szCs w:val="28"/>
        </w:rPr>
        <w:fldChar w:fldCharType="end"/>
      </w:r>
    </w:p>
    <w:p>
      <w:pPr>
        <w:pStyle w:val="32"/>
        <w:tabs>
          <w:tab w:val="right" w:leader="dot" w:pos="8902"/>
          <w:tab w:val="clear" w:pos="8296"/>
        </w:tabs>
        <w:spacing w:line="560" w:lineRule="exact"/>
        <w:ind w:left="0" w:leftChars="0"/>
        <w:rPr>
          <w:b w:val="0"/>
          <w:bCs/>
          <w:sz w:val="28"/>
          <w:szCs w:val="28"/>
        </w:rPr>
      </w:pPr>
      <w:r>
        <w:fldChar w:fldCharType="begin"/>
      </w:r>
      <w:r>
        <w:instrText xml:space="preserve"> HYPERLINK \l "_Toc911" </w:instrText>
      </w:r>
      <w:r>
        <w:fldChar w:fldCharType="separate"/>
      </w:r>
      <w:r>
        <w:rPr>
          <w:rFonts w:hint="eastAsia" w:cs="宋体"/>
          <w:b w:val="0"/>
          <w:bCs/>
          <w:sz w:val="28"/>
          <w:szCs w:val="28"/>
        </w:rPr>
        <w:t>第二章</w:t>
      </w:r>
      <w:r>
        <w:rPr>
          <w:rFonts w:cs="宋体"/>
          <w:b w:val="0"/>
          <w:bCs/>
          <w:sz w:val="28"/>
          <w:szCs w:val="28"/>
        </w:rPr>
        <w:t xml:space="preserve">  </w:t>
      </w:r>
      <w:r>
        <w:rPr>
          <w:rFonts w:hint="eastAsia" w:cs="宋体"/>
          <w:b w:val="0"/>
          <w:bCs/>
          <w:sz w:val="28"/>
          <w:szCs w:val="28"/>
        </w:rPr>
        <w:t>投标人须知</w:t>
      </w:r>
      <w:r>
        <w:rPr>
          <w:b w:val="0"/>
          <w:bCs/>
          <w:sz w:val="28"/>
          <w:szCs w:val="28"/>
        </w:rPr>
        <w:tab/>
      </w:r>
      <w:r>
        <w:rPr>
          <w:b w:val="0"/>
          <w:bCs/>
          <w:sz w:val="28"/>
          <w:szCs w:val="28"/>
        </w:rPr>
        <w:fldChar w:fldCharType="begin"/>
      </w:r>
      <w:r>
        <w:rPr>
          <w:b w:val="0"/>
          <w:bCs/>
          <w:sz w:val="28"/>
          <w:szCs w:val="28"/>
        </w:rPr>
        <w:instrText xml:space="preserve"> PAGEREF _Toc911 </w:instrText>
      </w:r>
      <w:r>
        <w:rPr>
          <w:b w:val="0"/>
          <w:bCs/>
          <w:sz w:val="28"/>
          <w:szCs w:val="28"/>
        </w:rPr>
        <w:fldChar w:fldCharType="separate"/>
      </w:r>
      <w:r>
        <w:rPr>
          <w:b w:val="0"/>
          <w:bCs/>
          <w:sz w:val="28"/>
          <w:szCs w:val="28"/>
        </w:rPr>
        <w:t>6</w:t>
      </w:r>
      <w:r>
        <w:rPr>
          <w:b w:val="0"/>
          <w:bCs/>
          <w:sz w:val="28"/>
          <w:szCs w:val="28"/>
        </w:rPr>
        <w:fldChar w:fldCharType="end"/>
      </w:r>
      <w:r>
        <w:rPr>
          <w:b w:val="0"/>
          <w:bCs/>
          <w:sz w:val="28"/>
          <w:szCs w:val="28"/>
        </w:rPr>
        <w:fldChar w:fldCharType="end"/>
      </w:r>
    </w:p>
    <w:p>
      <w:pPr>
        <w:pStyle w:val="32"/>
        <w:tabs>
          <w:tab w:val="right" w:leader="dot" w:pos="8902"/>
          <w:tab w:val="clear" w:pos="8296"/>
        </w:tabs>
        <w:spacing w:line="560" w:lineRule="exact"/>
        <w:ind w:left="0" w:leftChars="0"/>
        <w:rPr>
          <w:b w:val="0"/>
          <w:bCs/>
          <w:sz w:val="28"/>
          <w:szCs w:val="28"/>
        </w:rPr>
      </w:pPr>
      <w:r>
        <w:fldChar w:fldCharType="begin"/>
      </w:r>
      <w:r>
        <w:instrText xml:space="preserve"> HYPERLINK \l "_Toc7112" </w:instrText>
      </w:r>
      <w:r>
        <w:fldChar w:fldCharType="separate"/>
      </w:r>
      <w:r>
        <w:rPr>
          <w:rFonts w:hint="eastAsia" w:cs="宋体"/>
          <w:b w:val="0"/>
          <w:bCs/>
          <w:sz w:val="28"/>
          <w:szCs w:val="28"/>
        </w:rPr>
        <w:t>第三章</w:t>
      </w:r>
      <w:r>
        <w:rPr>
          <w:rFonts w:cs="宋体"/>
          <w:b w:val="0"/>
          <w:bCs/>
          <w:sz w:val="28"/>
          <w:szCs w:val="28"/>
        </w:rPr>
        <w:t xml:space="preserve">  </w:t>
      </w:r>
      <w:r>
        <w:rPr>
          <w:rFonts w:hint="eastAsia" w:cs="宋体"/>
          <w:b w:val="0"/>
          <w:bCs/>
          <w:sz w:val="28"/>
          <w:szCs w:val="28"/>
        </w:rPr>
        <w:t>评标办法（综合评估法）</w:t>
      </w:r>
      <w:r>
        <w:rPr>
          <w:b w:val="0"/>
          <w:bCs/>
          <w:sz w:val="28"/>
          <w:szCs w:val="28"/>
        </w:rPr>
        <w:tab/>
      </w:r>
      <w:r>
        <w:rPr>
          <w:b w:val="0"/>
          <w:bCs/>
          <w:sz w:val="28"/>
          <w:szCs w:val="28"/>
        </w:rPr>
        <w:fldChar w:fldCharType="begin"/>
      </w:r>
      <w:r>
        <w:rPr>
          <w:b w:val="0"/>
          <w:bCs/>
          <w:sz w:val="28"/>
          <w:szCs w:val="28"/>
        </w:rPr>
        <w:instrText xml:space="preserve"> PAGEREF _Toc7112 </w:instrText>
      </w:r>
      <w:r>
        <w:rPr>
          <w:b w:val="0"/>
          <w:bCs/>
          <w:sz w:val="28"/>
          <w:szCs w:val="28"/>
        </w:rPr>
        <w:fldChar w:fldCharType="separate"/>
      </w:r>
      <w:r>
        <w:rPr>
          <w:b w:val="0"/>
          <w:bCs/>
          <w:sz w:val="28"/>
          <w:szCs w:val="28"/>
        </w:rPr>
        <w:t>26</w:t>
      </w:r>
      <w:r>
        <w:rPr>
          <w:b w:val="0"/>
          <w:bCs/>
          <w:sz w:val="28"/>
          <w:szCs w:val="28"/>
        </w:rPr>
        <w:fldChar w:fldCharType="end"/>
      </w:r>
      <w:r>
        <w:rPr>
          <w:b w:val="0"/>
          <w:bCs/>
          <w:sz w:val="28"/>
          <w:szCs w:val="28"/>
        </w:rPr>
        <w:fldChar w:fldCharType="end"/>
      </w:r>
    </w:p>
    <w:p>
      <w:pPr>
        <w:pStyle w:val="32"/>
        <w:tabs>
          <w:tab w:val="right" w:leader="dot" w:pos="8902"/>
          <w:tab w:val="clear" w:pos="8296"/>
        </w:tabs>
        <w:spacing w:line="560" w:lineRule="exact"/>
        <w:ind w:left="0" w:leftChars="0"/>
        <w:rPr>
          <w:b w:val="0"/>
          <w:bCs/>
          <w:sz w:val="28"/>
          <w:szCs w:val="28"/>
        </w:rPr>
      </w:pPr>
      <w:r>
        <w:fldChar w:fldCharType="begin"/>
      </w:r>
      <w:r>
        <w:instrText xml:space="preserve"> HYPERLINK \l "_Toc8235" </w:instrText>
      </w:r>
      <w:r>
        <w:fldChar w:fldCharType="separate"/>
      </w:r>
      <w:r>
        <w:rPr>
          <w:rFonts w:hint="eastAsia" w:cs="宋体"/>
          <w:b w:val="0"/>
          <w:bCs/>
          <w:sz w:val="28"/>
          <w:szCs w:val="28"/>
        </w:rPr>
        <w:t>第四章</w:t>
      </w:r>
      <w:r>
        <w:rPr>
          <w:rFonts w:cs="宋体"/>
          <w:b w:val="0"/>
          <w:bCs/>
          <w:sz w:val="28"/>
          <w:szCs w:val="28"/>
        </w:rPr>
        <w:t xml:space="preserve">  </w:t>
      </w:r>
      <w:r>
        <w:rPr>
          <w:rFonts w:hint="eastAsia" w:cs="宋体"/>
          <w:b w:val="0"/>
          <w:bCs/>
          <w:sz w:val="28"/>
          <w:szCs w:val="28"/>
        </w:rPr>
        <w:t>合同条款及格式</w:t>
      </w:r>
      <w:r>
        <w:rPr>
          <w:b w:val="0"/>
          <w:bCs/>
          <w:sz w:val="28"/>
          <w:szCs w:val="28"/>
        </w:rPr>
        <w:tab/>
      </w:r>
      <w:r>
        <w:rPr>
          <w:b w:val="0"/>
          <w:bCs/>
          <w:sz w:val="28"/>
          <w:szCs w:val="28"/>
        </w:rPr>
        <w:fldChar w:fldCharType="begin"/>
      </w:r>
      <w:r>
        <w:rPr>
          <w:b w:val="0"/>
          <w:bCs/>
          <w:sz w:val="28"/>
          <w:szCs w:val="28"/>
        </w:rPr>
        <w:instrText xml:space="preserve"> PAGEREF _Toc8235 </w:instrText>
      </w:r>
      <w:r>
        <w:rPr>
          <w:b w:val="0"/>
          <w:bCs/>
          <w:sz w:val="28"/>
          <w:szCs w:val="28"/>
        </w:rPr>
        <w:fldChar w:fldCharType="separate"/>
      </w:r>
      <w:r>
        <w:rPr>
          <w:b w:val="0"/>
          <w:bCs/>
          <w:sz w:val="28"/>
          <w:szCs w:val="28"/>
        </w:rPr>
        <w:t>35</w:t>
      </w:r>
      <w:r>
        <w:rPr>
          <w:b w:val="0"/>
          <w:bCs/>
          <w:sz w:val="28"/>
          <w:szCs w:val="28"/>
        </w:rPr>
        <w:fldChar w:fldCharType="end"/>
      </w:r>
      <w:r>
        <w:rPr>
          <w:b w:val="0"/>
          <w:bCs/>
          <w:sz w:val="28"/>
          <w:szCs w:val="28"/>
        </w:rPr>
        <w:fldChar w:fldCharType="end"/>
      </w:r>
    </w:p>
    <w:p>
      <w:pPr>
        <w:pStyle w:val="32"/>
        <w:tabs>
          <w:tab w:val="right" w:leader="dot" w:pos="8902"/>
          <w:tab w:val="clear" w:pos="8296"/>
        </w:tabs>
        <w:spacing w:line="560" w:lineRule="exact"/>
        <w:ind w:left="0" w:leftChars="0"/>
        <w:rPr>
          <w:b w:val="0"/>
          <w:bCs/>
          <w:sz w:val="28"/>
          <w:szCs w:val="28"/>
        </w:rPr>
      </w:pPr>
      <w:r>
        <w:fldChar w:fldCharType="begin"/>
      </w:r>
      <w:r>
        <w:instrText xml:space="preserve"> HYPERLINK \l "_Toc13643" </w:instrText>
      </w:r>
      <w:r>
        <w:fldChar w:fldCharType="separate"/>
      </w:r>
      <w:r>
        <w:rPr>
          <w:rFonts w:hint="eastAsia" w:cs="宋体"/>
          <w:b w:val="0"/>
          <w:bCs/>
          <w:sz w:val="28"/>
          <w:szCs w:val="28"/>
        </w:rPr>
        <w:t>第五章</w:t>
      </w:r>
      <w:r>
        <w:rPr>
          <w:rFonts w:cs="宋体"/>
          <w:b w:val="0"/>
          <w:bCs/>
          <w:sz w:val="28"/>
          <w:szCs w:val="28"/>
        </w:rPr>
        <w:t xml:space="preserve">  </w:t>
      </w:r>
      <w:r>
        <w:rPr>
          <w:rFonts w:hint="eastAsia" w:cs="宋体"/>
          <w:b w:val="0"/>
          <w:bCs/>
          <w:sz w:val="28"/>
          <w:szCs w:val="28"/>
        </w:rPr>
        <w:t>商务及技术要求</w:t>
      </w:r>
      <w:r>
        <w:rPr>
          <w:b w:val="0"/>
          <w:bCs/>
          <w:sz w:val="28"/>
          <w:szCs w:val="28"/>
        </w:rPr>
        <w:tab/>
      </w:r>
      <w:r>
        <w:rPr>
          <w:b w:val="0"/>
          <w:bCs/>
          <w:sz w:val="28"/>
          <w:szCs w:val="28"/>
        </w:rPr>
        <w:fldChar w:fldCharType="begin"/>
      </w:r>
      <w:r>
        <w:rPr>
          <w:b w:val="0"/>
          <w:bCs/>
          <w:sz w:val="28"/>
          <w:szCs w:val="28"/>
        </w:rPr>
        <w:instrText xml:space="preserve"> PAGEREF _Toc13643 </w:instrText>
      </w:r>
      <w:r>
        <w:rPr>
          <w:b w:val="0"/>
          <w:bCs/>
          <w:sz w:val="28"/>
          <w:szCs w:val="28"/>
        </w:rPr>
        <w:fldChar w:fldCharType="separate"/>
      </w:r>
      <w:r>
        <w:rPr>
          <w:b w:val="0"/>
          <w:bCs/>
          <w:sz w:val="28"/>
          <w:szCs w:val="28"/>
        </w:rPr>
        <w:t>48</w:t>
      </w:r>
      <w:r>
        <w:rPr>
          <w:b w:val="0"/>
          <w:bCs/>
          <w:sz w:val="28"/>
          <w:szCs w:val="28"/>
        </w:rPr>
        <w:fldChar w:fldCharType="end"/>
      </w:r>
      <w:r>
        <w:rPr>
          <w:b w:val="0"/>
          <w:bCs/>
          <w:sz w:val="28"/>
          <w:szCs w:val="28"/>
        </w:rPr>
        <w:fldChar w:fldCharType="end"/>
      </w:r>
    </w:p>
    <w:p>
      <w:pPr>
        <w:pStyle w:val="32"/>
        <w:tabs>
          <w:tab w:val="right" w:leader="dot" w:pos="8902"/>
          <w:tab w:val="clear" w:pos="8296"/>
        </w:tabs>
        <w:spacing w:line="560" w:lineRule="exact"/>
        <w:ind w:left="0" w:leftChars="0"/>
        <w:rPr>
          <w:b w:val="0"/>
          <w:bCs/>
          <w:sz w:val="28"/>
          <w:szCs w:val="28"/>
        </w:rPr>
      </w:pPr>
      <w:r>
        <w:fldChar w:fldCharType="begin"/>
      </w:r>
      <w:r>
        <w:instrText xml:space="preserve"> HYPERLINK \l "_Toc13269" </w:instrText>
      </w:r>
      <w:r>
        <w:fldChar w:fldCharType="separate"/>
      </w:r>
      <w:r>
        <w:rPr>
          <w:rFonts w:hint="eastAsia" w:cs="宋体"/>
          <w:b w:val="0"/>
          <w:bCs/>
          <w:sz w:val="28"/>
          <w:szCs w:val="28"/>
        </w:rPr>
        <w:t>第六章</w:t>
      </w:r>
      <w:r>
        <w:rPr>
          <w:rFonts w:cs="宋体"/>
          <w:b w:val="0"/>
          <w:bCs/>
          <w:sz w:val="28"/>
          <w:szCs w:val="28"/>
        </w:rPr>
        <w:t xml:space="preserve">  </w:t>
      </w:r>
      <w:r>
        <w:rPr>
          <w:rFonts w:hint="eastAsia" w:cs="宋体"/>
          <w:b w:val="0"/>
          <w:bCs/>
          <w:sz w:val="28"/>
          <w:szCs w:val="28"/>
        </w:rPr>
        <w:t>相关技术资料（如有）</w:t>
      </w:r>
      <w:r>
        <w:rPr>
          <w:b w:val="0"/>
          <w:bCs/>
          <w:sz w:val="28"/>
          <w:szCs w:val="28"/>
        </w:rPr>
        <w:tab/>
      </w:r>
      <w:r>
        <w:rPr>
          <w:b w:val="0"/>
          <w:bCs/>
          <w:sz w:val="28"/>
          <w:szCs w:val="28"/>
        </w:rPr>
        <w:fldChar w:fldCharType="begin"/>
      </w:r>
      <w:r>
        <w:rPr>
          <w:b w:val="0"/>
          <w:bCs/>
          <w:sz w:val="28"/>
          <w:szCs w:val="28"/>
        </w:rPr>
        <w:instrText xml:space="preserve"> PAGEREF _Toc13269 </w:instrText>
      </w:r>
      <w:r>
        <w:rPr>
          <w:b w:val="0"/>
          <w:bCs/>
          <w:sz w:val="28"/>
          <w:szCs w:val="28"/>
        </w:rPr>
        <w:fldChar w:fldCharType="separate"/>
      </w:r>
      <w:r>
        <w:rPr>
          <w:b w:val="0"/>
          <w:bCs/>
          <w:sz w:val="28"/>
          <w:szCs w:val="28"/>
        </w:rPr>
        <w:t>56</w:t>
      </w:r>
      <w:r>
        <w:rPr>
          <w:b w:val="0"/>
          <w:bCs/>
          <w:sz w:val="28"/>
          <w:szCs w:val="28"/>
        </w:rPr>
        <w:fldChar w:fldCharType="end"/>
      </w:r>
      <w:r>
        <w:rPr>
          <w:b w:val="0"/>
          <w:bCs/>
          <w:sz w:val="28"/>
          <w:szCs w:val="28"/>
        </w:rPr>
        <w:fldChar w:fldCharType="end"/>
      </w:r>
    </w:p>
    <w:p>
      <w:pPr>
        <w:pStyle w:val="32"/>
        <w:tabs>
          <w:tab w:val="right" w:leader="dot" w:pos="8902"/>
          <w:tab w:val="clear" w:pos="8296"/>
        </w:tabs>
        <w:spacing w:line="560" w:lineRule="exact"/>
        <w:ind w:left="0" w:leftChars="0"/>
        <w:rPr>
          <w:b w:val="0"/>
          <w:bCs/>
          <w:sz w:val="28"/>
          <w:szCs w:val="28"/>
        </w:rPr>
      </w:pPr>
      <w:r>
        <w:fldChar w:fldCharType="begin"/>
      </w:r>
      <w:r>
        <w:instrText xml:space="preserve"> HYPERLINK \l "_Toc20581" </w:instrText>
      </w:r>
      <w:r>
        <w:fldChar w:fldCharType="separate"/>
      </w:r>
      <w:r>
        <w:rPr>
          <w:rFonts w:hint="eastAsia" w:cs="宋体"/>
          <w:b w:val="0"/>
          <w:bCs/>
          <w:sz w:val="28"/>
          <w:szCs w:val="28"/>
        </w:rPr>
        <w:t>第七章</w:t>
      </w:r>
      <w:r>
        <w:rPr>
          <w:rFonts w:cs="宋体"/>
          <w:b w:val="0"/>
          <w:bCs/>
          <w:sz w:val="28"/>
          <w:szCs w:val="28"/>
        </w:rPr>
        <w:t xml:space="preserve">  </w:t>
      </w:r>
      <w:r>
        <w:rPr>
          <w:rFonts w:hint="eastAsia" w:cs="宋体"/>
          <w:b w:val="0"/>
          <w:bCs/>
          <w:sz w:val="28"/>
          <w:szCs w:val="28"/>
        </w:rPr>
        <w:t>投标文件格式</w:t>
      </w:r>
      <w:r>
        <w:rPr>
          <w:b w:val="0"/>
          <w:bCs/>
          <w:sz w:val="28"/>
          <w:szCs w:val="28"/>
        </w:rPr>
        <w:tab/>
      </w:r>
      <w:r>
        <w:rPr>
          <w:b w:val="0"/>
          <w:bCs/>
          <w:sz w:val="28"/>
          <w:szCs w:val="28"/>
        </w:rPr>
        <w:fldChar w:fldCharType="begin"/>
      </w:r>
      <w:r>
        <w:rPr>
          <w:b w:val="0"/>
          <w:bCs/>
          <w:sz w:val="28"/>
          <w:szCs w:val="28"/>
        </w:rPr>
        <w:instrText xml:space="preserve"> PAGEREF _Toc20581 </w:instrText>
      </w:r>
      <w:r>
        <w:rPr>
          <w:b w:val="0"/>
          <w:bCs/>
          <w:sz w:val="28"/>
          <w:szCs w:val="28"/>
        </w:rPr>
        <w:fldChar w:fldCharType="separate"/>
      </w:r>
      <w:r>
        <w:rPr>
          <w:b w:val="0"/>
          <w:bCs/>
          <w:sz w:val="28"/>
          <w:szCs w:val="28"/>
        </w:rPr>
        <w:t>57</w:t>
      </w:r>
      <w:r>
        <w:rPr>
          <w:b w:val="0"/>
          <w:bCs/>
          <w:sz w:val="28"/>
          <w:szCs w:val="28"/>
        </w:rPr>
        <w:fldChar w:fldCharType="end"/>
      </w:r>
      <w:r>
        <w:rPr>
          <w:b w:val="0"/>
          <w:bCs/>
          <w:sz w:val="28"/>
          <w:szCs w:val="28"/>
        </w:rPr>
        <w:fldChar w:fldCharType="end"/>
      </w:r>
    </w:p>
    <w:p>
      <w:pPr>
        <w:pStyle w:val="37"/>
        <w:tabs>
          <w:tab w:val="right" w:leader="dot" w:pos="8902"/>
          <w:tab w:val="clear" w:pos="8296"/>
        </w:tabs>
        <w:spacing w:line="560" w:lineRule="exact"/>
        <w:ind w:left="0" w:leftChars="0"/>
        <w:rPr>
          <w:sz w:val="28"/>
          <w:szCs w:val="28"/>
        </w:rPr>
      </w:pPr>
    </w:p>
    <w:p>
      <w:pPr>
        <w:spacing w:line="560" w:lineRule="exact"/>
        <w:rPr>
          <w:rFonts w:ascii="宋体" w:hAnsi="宋体" w:cs="宋体"/>
          <w:b/>
          <w:bCs/>
          <w:color w:val="000000"/>
          <w:sz w:val="28"/>
          <w:szCs w:val="28"/>
          <w:lang w:val="zh-CN"/>
        </w:rPr>
      </w:pPr>
      <w:r>
        <w:rPr>
          <w:rFonts w:hint="eastAsia" w:ascii="宋体" w:hAnsi="宋体" w:cs="宋体"/>
          <w:bCs/>
          <w:color w:val="000000"/>
          <w:sz w:val="28"/>
          <w:szCs w:val="28"/>
          <w:lang w:val="zh-CN"/>
        </w:rPr>
        <w:fldChar w:fldCharType="end"/>
      </w:r>
    </w:p>
    <w:bookmarkEnd w:id="4"/>
    <w:bookmarkEnd w:id="5"/>
    <w:p>
      <w:pPr>
        <w:pStyle w:val="5"/>
        <w:pageBreakBefore/>
        <w:spacing w:before="240" w:beforeLines="100" w:after="240" w:afterLines="100"/>
        <w:rPr>
          <w:rFonts w:cs="宋体"/>
          <w:color w:val="000000"/>
        </w:rPr>
      </w:pPr>
      <w:bookmarkStart w:id="6" w:name="_Toc18376"/>
      <w:bookmarkStart w:id="7" w:name="_Toc522293503"/>
      <w:r>
        <w:rPr>
          <w:rFonts w:hint="eastAsia"/>
        </w:rPr>
        <w:t>第一章  招标公告</w:t>
      </w:r>
      <w:bookmarkEnd w:id="6"/>
    </w:p>
    <w:p>
      <w:pPr>
        <w:widowControl/>
        <w:spacing w:line="480" w:lineRule="exact"/>
        <w:ind w:firstLine="482" w:firstLineChars="200"/>
        <w:rPr>
          <w:rFonts w:hAnsi="宋体" w:cs="宋体"/>
          <w:b/>
          <w:color w:val="000000"/>
          <w:kern w:val="0"/>
          <w:sz w:val="24"/>
          <w:szCs w:val="24"/>
        </w:rPr>
      </w:pPr>
      <w:r>
        <w:rPr>
          <w:rFonts w:hAnsi="宋体" w:cs="宋体"/>
          <w:b/>
          <w:color w:val="000000"/>
          <w:kern w:val="0"/>
          <w:sz w:val="24"/>
          <w:szCs w:val="24"/>
        </w:rPr>
        <w:t>1.</w:t>
      </w:r>
      <w:r>
        <w:rPr>
          <w:rFonts w:hint="eastAsia" w:hAnsi="宋体" w:cs="宋体"/>
          <w:b/>
          <w:color w:val="000000"/>
          <w:kern w:val="0"/>
          <w:sz w:val="24"/>
          <w:szCs w:val="24"/>
        </w:rPr>
        <w:t>招标条件</w:t>
      </w:r>
    </w:p>
    <w:p>
      <w:pPr>
        <w:pStyle w:val="166"/>
        <w:shd w:val="clear" w:color="auto" w:fill="FFFFFF"/>
        <w:spacing w:line="480" w:lineRule="exact"/>
        <w:ind w:firstLine="480" w:firstLineChars="200"/>
        <w:jc w:val="both"/>
        <w:rPr>
          <w:rFonts w:cs="宋体"/>
          <w:color w:val="000000"/>
        </w:rPr>
      </w:pPr>
      <w:r>
        <w:rPr>
          <w:rFonts w:hint="eastAsia" w:cs="宋体"/>
          <w:color w:val="000000"/>
          <w:lang w:val="zh-CN"/>
        </w:rPr>
        <w:t>湖北兴焱工程咨询有限公司受湖北宜昌交运集团股份有限公司委托</w:t>
      </w:r>
      <w:r>
        <w:rPr>
          <w:rFonts w:hint="eastAsia" w:cs="宋体"/>
          <w:color w:val="000000"/>
        </w:rPr>
        <w:t>，</w:t>
      </w:r>
      <w:r>
        <w:rPr>
          <w:rFonts w:hint="eastAsia" w:cs="宋体"/>
          <w:color w:val="000000"/>
          <w:lang w:val="zh-CN"/>
        </w:rPr>
        <w:t>拟就</w:t>
      </w:r>
      <w:r>
        <w:rPr>
          <w:rFonts w:hint="eastAsia" w:cs="宋体"/>
          <w:color w:val="000000"/>
        </w:rPr>
        <w:t>“物业租赁智能用电管理改造升级项目”</w:t>
      </w:r>
      <w:r>
        <w:rPr>
          <w:rFonts w:hint="eastAsia" w:cs="宋体"/>
          <w:color w:val="000000"/>
          <w:lang w:val="zh-CN"/>
        </w:rPr>
        <w:t>进行公开招标</w:t>
      </w:r>
      <w:r>
        <w:rPr>
          <w:rFonts w:hint="eastAsia" w:cs="宋体"/>
          <w:color w:val="000000"/>
        </w:rPr>
        <w:t>，</w:t>
      </w:r>
      <w:r>
        <w:rPr>
          <w:rFonts w:hint="eastAsia" w:cs="宋体"/>
          <w:color w:val="000000"/>
          <w:lang w:val="zh-CN"/>
        </w:rPr>
        <w:t>欢迎符合条件的投标人前来投标。</w:t>
      </w:r>
    </w:p>
    <w:p>
      <w:pPr>
        <w:widowControl/>
        <w:spacing w:line="480" w:lineRule="exact"/>
        <w:ind w:firstLine="482" w:firstLineChars="200"/>
        <w:rPr>
          <w:rFonts w:cs="宋体"/>
          <w:b/>
          <w:color w:val="000000"/>
        </w:rPr>
      </w:pPr>
      <w:r>
        <w:rPr>
          <w:rFonts w:hAnsi="宋体" w:cs="宋体"/>
          <w:b/>
          <w:color w:val="000000"/>
          <w:kern w:val="0"/>
          <w:sz w:val="24"/>
          <w:szCs w:val="24"/>
        </w:rPr>
        <w:t>2.</w:t>
      </w:r>
      <w:r>
        <w:rPr>
          <w:rFonts w:hint="eastAsia" w:hAnsi="宋体" w:cs="宋体"/>
          <w:b/>
          <w:color w:val="000000"/>
          <w:kern w:val="0"/>
          <w:sz w:val="24"/>
          <w:szCs w:val="24"/>
        </w:rPr>
        <w:t>项目概况与招标范围</w:t>
      </w:r>
    </w:p>
    <w:p>
      <w:pPr>
        <w:pStyle w:val="166"/>
        <w:shd w:val="clear" w:color="auto" w:fill="FFFFFF"/>
        <w:spacing w:line="480" w:lineRule="exact"/>
        <w:ind w:firstLine="480" w:firstLineChars="200"/>
        <w:jc w:val="both"/>
        <w:rPr>
          <w:rFonts w:ascii="仿宋_GB2312" w:cs="宋体"/>
          <w:bCs/>
          <w:color w:val="000000"/>
          <w:lang w:val="zh-CN"/>
        </w:rPr>
      </w:pPr>
      <w:r>
        <w:rPr>
          <w:rFonts w:hint="eastAsia" w:ascii="仿宋_GB2312" w:cs="宋体"/>
          <w:bCs/>
          <w:color w:val="000000"/>
        </w:rPr>
        <w:t>（</w:t>
      </w:r>
      <w:r>
        <w:rPr>
          <w:rFonts w:ascii="仿宋_GB2312" w:cs="宋体"/>
          <w:bCs/>
          <w:color w:val="000000"/>
        </w:rPr>
        <w:t>1</w:t>
      </w:r>
      <w:r>
        <w:rPr>
          <w:rFonts w:hint="eastAsia" w:ascii="仿宋_GB2312" w:cs="宋体"/>
          <w:bCs/>
          <w:color w:val="000000"/>
        </w:rPr>
        <w:t>）</w:t>
      </w:r>
      <w:r>
        <w:rPr>
          <w:rFonts w:hint="eastAsia" w:ascii="仿宋_GB2312" w:cs="宋体"/>
          <w:bCs/>
          <w:color w:val="000000"/>
          <w:lang w:val="zh-CN"/>
        </w:rPr>
        <w:t>项目名称</w:t>
      </w:r>
      <w:r>
        <w:rPr>
          <w:rFonts w:hint="eastAsia" w:ascii="仿宋_GB2312" w:cs="宋体"/>
          <w:bCs/>
          <w:color w:val="000000"/>
        </w:rPr>
        <w:t>：物业租赁智能用电管理改造升级项目。</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w:t>
      </w:r>
      <w:r>
        <w:rPr>
          <w:rFonts w:ascii="仿宋_GB2312" w:cs="宋体"/>
          <w:bCs/>
          <w:color w:val="000000"/>
        </w:rPr>
        <w:t>2</w:t>
      </w:r>
      <w:r>
        <w:rPr>
          <w:rFonts w:hint="eastAsia" w:ascii="仿宋_GB2312" w:cs="宋体"/>
          <w:bCs/>
          <w:color w:val="000000"/>
        </w:rPr>
        <w:t>）最高限价：人民币</w:t>
      </w:r>
      <w:r>
        <w:rPr>
          <w:rFonts w:ascii="仿宋_GB2312" w:cs="宋体"/>
          <w:bCs/>
          <w:color w:val="000000"/>
          <w:u w:val="single"/>
        </w:rPr>
        <w:t xml:space="preserve"> 120.2668 </w:t>
      </w:r>
      <w:r>
        <w:rPr>
          <w:rFonts w:hint="eastAsia" w:ascii="仿宋_GB2312" w:cs="宋体"/>
          <w:bCs/>
          <w:color w:val="000000"/>
        </w:rPr>
        <w:t>万元。</w:t>
      </w:r>
    </w:p>
    <w:p>
      <w:pPr>
        <w:pStyle w:val="166"/>
        <w:shd w:val="clear" w:color="auto" w:fill="FFFFFF"/>
        <w:spacing w:line="480" w:lineRule="exact"/>
        <w:ind w:firstLine="480" w:firstLineChars="200"/>
        <w:jc w:val="both"/>
        <w:rPr>
          <w:rFonts w:ascii="仿宋_GB2312" w:cs="宋体"/>
          <w:bCs/>
        </w:rPr>
      </w:pPr>
      <w:r>
        <w:rPr>
          <w:rFonts w:hint="eastAsia" w:ascii="仿宋_GB2312" w:cs="宋体"/>
          <w:bCs/>
          <w:color w:val="000000"/>
        </w:rPr>
        <w:t>（</w:t>
      </w:r>
      <w:r>
        <w:rPr>
          <w:rFonts w:ascii="仿宋_GB2312" w:cs="宋体"/>
          <w:bCs/>
          <w:color w:val="000000"/>
        </w:rPr>
        <w:t>3</w:t>
      </w:r>
      <w:r>
        <w:rPr>
          <w:rFonts w:hint="eastAsia" w:ascii="仿宋_GB2312" w:cs="宋体"/>
          <w:bCs/>
          <w:color w:val="000000"/>
        </w:rPr>
        <w:t>）招标</w:t>
      </w:r>
      <w:r>
        <w:rPr>
          <w:rFonts w:hint="eastAsia" w:ascii="仿宋_GB2312" w:cs="宋体"/>
          <w:bCs/>
        </w:rPr>
        <w:t>范围：交运集团所属公司智能用电管理改造升级。</w:t>
      </w:r>
    </w:p>
    <w:p>
      <w:pPr>
        <w:pStyle w:val="166"/>
        <w:shd w:val="clear" w:color="auto" w:fill="FFFFFF"/>
        <w:spacing w:line="480" w:lineRule="exact"/>
        <w:ind w:firstLine="480" w:firstLineChars="200"/>
        <w:jc w:val="both"/>
        <w:rPr>
          <w:rFonts w:cs="宋体"/>
          <w:lang w:val="zh-CN"/>
        </w:rPr>
      </w:pPr>
      <w:r>
        <w:rPr>
          <w:rFonts w:hint="eastAsia" w:ascii="仿宋_GB2312" w:cs="宋体"/>
          <w:bCs/>
        </w:rPr>
        <w:t>（4）招标内容：</w:t>
      </w:r>
      <w:r>
        <w:rPr>
          <w:rFonts w:hint="eastAsia" w:cs="宋体"/>
          <w:lang w:val="zh-CN"/>
        </w:rPr>
        <w:t>物业租赁智能用电管理系统设计方案（含管理系统软件开发设计、设施设备安装施工设计等）；物业租赁智能用电管理系统软件平台开发（含开发、许可、部署、调试、异构系统对接等，满足用电管理需求）；物业租赁智能用电管理系统设施设备采购（含终端电表、电表内置模块、数据采集器（集中器）及相关辅材）；物业租赁智能用电管理系统设施设备安装及改造（含前述设施设备的安装、存量设施设备的改造、所有设施设备的调试和连接），具体详见清单。</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（5）交付时间：合同签订后1</w:t>
      </w:r>
      <w:r>
        <w:rPr>
          <w:rFonts w:ascii="仿宋_GB2312" w:cs="宋体"/>
          <w:bCs/>
          <w:color w:val="000000"/>
        </w:rPr>
        <w:t>20</w:t>
      </w:r>
      <w:r>
        <w:rPr>
          <w:rFonts w:hint="eastAsia" w:ascii="仿宋_GB2312" w:cs="宋体"/>
          <w:bCs/>
          <w:color w:val="000000"/>
        </w:rPr>
        <w:t>日历天内。</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w:t>
      </w:r>
      <w:r>
        <w:rPr>
          <w:rFonts w:ascii="仿宋_GB2312" w:cs="宋体"/>
          <w:bCs/>
          <w:color w:val="000000"/>
        </w:rPr>
        <w:t>6</w:t>
      </w:r>
      <w:r>
        <w:rPr>
          <w:rFonts w:hint="eastAsia" w:ascii="仿宋_GB2312" w:cs="宋体"/>
          <w:bCs/>
          <w:color w:val="000000"/>
        </w:rPr>
        <w:t>）服务地点：招标人指定地点。</w:t>
      </w:r>
    </w:p>
    <w:p>
      <w:pPr>
        <w:pStyle w:val="166"/>
        <w:shd w:val="clear" w:color="auto" w:fill="FFFFFF"/>
        <w:spacing w:line="480" w:lineRule="exact"/>
        <w:ind w:firstLine="482" w:firstLineChars="200"/>
        <w:jc w:val="both"/>
        <w:rPr>
          <w:rFonts w:ascii="仿宋_GB2312" w:cs="宋体"/>
          <w:b/>
          <w:bCs/>
          <w:color w:val="000000"/>
        </w:rPr>
      </w:pPr>
      <w:r>
        <w:rPr>
          <w:rFonts w:ascii="仿宋_GB2312" w:cs="宋体"/>
          <w:b/>
          <w:bCs/>
          <w:color w:val="000000"/>
        </w:rPr>
        <w:t>3.</w:t>
      </w:r>
      <w:r>
        <w:rPr>
          <w:rFonts w:hint="eastAsia" w:ascii="仿宋_GB2312" w:cs="宋体"/>
          <w:b/>
          <w:bCs/>
          <w:color w:val="000000"/>
        </w:rPr>
        <w:t>投标人资格要求</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本项目对投标人的资格审查采用资格后审方式，主要资格审查标准（详细内容和要求见招标文件）如下：</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w:t>
      </w:r>
      <w:r>
        <w:rPr>
          <w:rFonts w:ascii="仿宋_GB2312" w:cs="宋体"/>
          <w:bCs/>
          <w:color w:val="000000"/>
        </w:rPr>
        <w:t>1</w:t>
      </w:r>
      <w:r>
        <w:rPr>
          <w:rFonts w:hint="eastAsia" w:ascii="仿宋_GB2312" w:cs="宋体"/>
          <w:bCs/>
          <w:color w:val="000000"/>
        </w:rPr>
        <w:t>）投标人须具有有效的营业执照（提供营业执照彩色复印件并加盖公章）。</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w:t>
      </w:r>
      <w:r>
        <w:rPr>
          <w:rFonts w:ascii="仿宋_GB2312" w:cs="宋体"/>
          <w:bCs/>
          <w:color w:val="000000"/>
        </w:rPr>
        <w:t>2</w:t>
      </w:r>
      <w:r>
        <w:rPr>
          <w:rFonts w:hint="eastAsia" w:ascii="仿宋_GB2312" w:cs="宋体"/>
          <w:bCs/>
          <w:color w:val="000000"/>
        </w:rPr>
        <w:t>）投标人具备电子与智能化工程专业承包资质二级及以上资质（提供资质证书彩色复印件并加盖公章）。</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w:t>
      </w:r>
      <w:r>
        <w:rPr>
          <w:rFonts w:ascii="仿宋_GB2312" w:cs="宋体"/>
          <w:bCs/>
          <w:color w:val="000000"/>
        </w:rPr>
        <w:t>3</w:t>
      </w:r>
      <w:r>
        <w:rPr>
          <w:rFonts w:hint="eastAsia" w:ascii="仿宋_GB2312" w:cs="宋体"/>
          <w:bCs/>
          <w:color w:val="000000"/>
        </w:rPr>
        <w:t>）在“信用中国”网站，未被列入失信被执行人；在“国家企业信用信息公示系统”未被列入严重违法失信企业名单；在“湖北省公共资源招标投标信用信息平台”未被列入信用黑名单的投标人（开标结束后由招标人或其委托的招标代理机构按照招标文件要求对所有投标人的信用信息进行查询，做好记录，由评标委员会按招标文件规定进行评审）。</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w:t>
      </w:r>
      <w:r>
        <w:rPr>
          <w:rFonts w:ascii="仿宋_GB2312" w:cs="宋体"/>
          <w:bCs/>
          <w:color w:val="000000"/>
        </w:rPr>
        <w:t>4</w:t>
      </w:r>
      <w:r>
        <w:rPr>
          <w:rFonts w:hint="eastAsia" w:ascii="仿宋_GB2312" w:cs="宋体"/>
          <w:bCs/>
          <w:color w:val="000000"/>
        </w:rPr>
        <w:t>）单位负责人为同一人或者存在控股、管理关系的不同单位，不得同时参加同一标段投标或者未划分标段的同一招标项目投标。</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w:t>
      </w:r>
      <w:r>
        <w:rPr>
          <w:rFonts w:ascii="仿宋_GB2312" w:cs="宋体"/>
          <w:bCs/>
          <w:color w:val="000000"/>
        </w:rPr>
        <w:t>5</w:t>
      </w:r>
      <w:r>
        <w:rPr>
          <w:rFonts w:hint="eastAsia" w:ascii="仿宋_GB2312" w:cs="宋体"/>
          <w:bCs/>
          <w:color w:val="000000"/>
        </w:rPr>
        <w:t>）与招标人存在利害关系可能影响招标公正性的法人、其他组织或个人，不得参加投标。</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w:t>
      </w:r>
      <w:r>
        <w:rPr>
          <w:rFonts w:ascii="仿宋_GB2312" w:cs="宋体"/>
          <w:bCs/>
          <w:color w:val="000000"/>
        </w:rPr>
        <w:t>6</w:t>
      </w:r>
      <w:r>
        <w:rPr>
          <w:rFonts w:hint="eastAsia" w:ascii="仿宋_GB2312" w:cs="宋体"/>
          <w:bCs/>
          <w:color w:val="000000"/>
        </w:rPr>
        <w:t>）本项目不接受联合体投标，投标人须以独立投标人身份参与本项目投标。</w:t>
      </w:r>
    </w:p>
    <w:p>
      <w:pPr>
        <w:pStyle w:val="166"/>
        <w:shd w:val="clear" w:color="auto" w:fill="FFFFFF"/>
        <w:spacing w:line="480" w:lineRule="exact"/>
        <w:ind w:firstLine="482" w:firstLineChars="200"/>
        <w:jc w:val="both"/>
        <w:rPr>
          <w:rFonts w:cs="宋体"/>
          <w:b/>
          <w:bCs/>
          <w:color w:val="000000"/>
          <w:lang w:val="zh-CN"/>
        </w:rPr>
      </w:pPr>
      <w:r>
        <w:rPr>
          <w:rFonts w:hint="eastAsia" w:cs="宋体"/>
          <w:b/>
          <w:bCs/>
          <w:color w:val="000000"/>
          <w:lang w:val="zh-CN"/>
        </w:rPr>
        <w:t>投标人在制作投标文件时，应对照上述资格审查要求，提供证明材料原件的复印件并加盖投标单位公章，否则评委将不予采信。</w:t>
      </w:r>
    </w:p>
    <w:p>
      <w:pPr>
        <w:pStyle w:val="166"/>
        <w:shd w:val="clear" w:color="auto" w:fill="FFFFFF"/>
        <w:spacing w:line="480" w:lineRule="exact"/>
        <w:ind w:firstLine="482" w:firstLineChars="200"/>
        <w:jc w:val="both"/>
        <w:rPr>
          <w:rFonts w:ascii="仿宋_GB2312" w:cs="宋体"/>
          <w:b/>
          <w:bCs/>
          <w:color w:val="000000"/>
        </w:rPr>
      </w:pPr>
      <w:r>
        <w:rPr>
          <w:rFonts w:ascii="仿宋_GB2312" w:cs="宋体"/>
          <w:b/>
          <w:bCs/>
          <w:color w:val="000000"/>
        </w:rPr>
        <w:t>4.</w:t>
      </w:r>
      <w:r>
        <w:rPr>
          <w:rFonts w:hint="eastAsia" w:ascii="仿宋_GB2312" w:cs="宋体"/>
          <w:b/>
          <w:bCs/>
          <w:color w:val="000000"/>
        </w:rPr>
        <w:t>招标文件的发放时间和获取方法</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w:t>
      </w:r>
      <w:r>
        <w:rPr>
          <w:rFonts w:ascii="仿宋_GB2312" w:cs="宋体"/>
          <w:bCs/>
          <w:color w:val="000000"/>
        </w:rPr>
        <w:t>1</w:t>
      </w:r>
      <w:r>
        <w:rPr>
          <w:rFonts w:hint="eastAsia" w:ascii="仿宋_GB2312" w:cs="宋体"/>
          <w:bCs/>
          <w:color w:val="000000"/>
        </w:rPr>
        <w:t>）发放时间：</w:t>
      </w:r>
      <w:r>
        <w:rPr>
          <w:rFonts w:ascii="仿宋_GB2312" w:cs="宋体"/>
          <w:bCs/>
          <w:color w:val="000000"/>
          <w:highlight w:val="yellow"/>
        </w:rPr>
        <w:t>2020</w:t>
      </w:r>
      <w:r>
        <w:rPr>
          <w:rFonts w:hint="eastAsia" w:ascii="仿宋_GB2312" w:cs="宋体"/>
          <w:bCs/>
          <w:color w:val="000000"/>
          <w:highlight w:val="yellow"/>
        </w:rPr>
        <w:t>年</w:t>
      </w:r>
      <w:r>
        <w:rPr>
          <w:rFonts w:ascii="仿宋_GB2312" w:cs="宋体"/>
          <w:bCs/>
          <w:color w:val="000000"/>
          <w:highlight w:val="yellow"/>
        </w:rPr>
        <w:t>12</w:t>
      </w:r>
      <w:r>
        <w:rPr>
          <w:rFonts w:hint="eastAsia" w:ascii="仿宋_GB2312" w:cs="宋体"/>
          <w:bCs/>
          <w:color w:val="000000"/>
          <w:highlight w:val="yellow"/>
        </w:rPr>
        <w:t>月</w:t>
      </w:r>
      <w:r>
        <w:rPr>
          <w:rFonts w:hint="eastAsia" w:ascii="仿宋_GB2312" w:cs="宋体"/>
          <w:bCs/>
          <w:color w:val="000000"/>
          <w:highlight w:val="yellow"/>
          <w:lang w:val="en-US" w:eastAsia="zh-CN"/>
        </w:rPr>
        <w:t>23</w:t>
      </w:r>
      <w:r>
        <w:rPr>
          <w:rFonts w:hint="eastAsia" w:ascii="仿宋_GB2312" w:cs="宋体"/>
          <w:bCs/>
          <w:color w:val="000000"/>
          <w:highlight w:val="yellow"/>
        </w:rPr>
        <w:t>日至</w:t>
      </w:r>
      <w:r>
        <w:rPr>
          <w:rFonts w:ascii="仿宋_GB2312" w:cs="宋体"/>
          <w:bCs/>
          <w:color w:val="000000"/>
          <w:highlight w:val="yellow"/>
        </w:rPr>
        <w:t>202</w:t>
      </w:r>
      <w:r>
        <w:rPr>
          <w:rFonts w:hint="eastAsia" w:ascii="仿宋_GB2312" w:cs="宋体"/>
          <w:bCs/>
          <w:color w:val="000000"/>
          <w:highlight w:val="yellow"/>
          <w:lang w:val="en-US" w:eastAsia="zh-CN"/>
        </w:rPr>
        <w:t>1</w:t>
      </w:r>
      <w:r>
        <w:rPr>
          <w:rFonts w:hint="eastAsia" w:ascii="仿宋_GB2312" w:cs="宋体"/>
          <w:bCs/>
          <w:color w:val="000000"/>
          <w:highlight w:val="yellow"/>
        </w:rPr>
        <w:t>年</w:t>
      </w:r>
      <w:r>
        <w:rPr>
          <w:rFonts w:hint="eastAsia" w:ascii="仿宋_GB2312" w:cs="宋体"/>
          <w:bCs/>
          <w:color w:val="000000"/>
          <w:highlight w:val="yellow"/>
          <w:lang w:val="en-US" w:eastAsia="zh-CN"/>
        </w:rPr>
        <w:t>1</w:t>
      </w:r>
      <w:r>
        <w:rPr>
          <w:rFonts w:hint="eastAsia" w:ascii="仿宋_GB2312" w:cs="宋体"/>
          <w:bCs/>
          <w:color w:val="000000"/>
          <w:highlight w:val="yellow"/>
        </w:rPr>
        <w:t>月</w:t>
      </w:r>
      <w:r>
        <w:rPr>
          <w:rFonts w:hint="eastAsia" w:ascii="仿宋_GB2312" w:cs="宋体"/>
          <w:bCs/>
          <w:color w:val="000000"/>
          <w:highlight w:val="yellow"/>
          <w:lang w:val="en-US" w:eastAsia="zh-CN"/>
        </w:rPr>
        <w:t>14</w:t>
      </w:r>
      <w:r>
        <w:rPr>
          <w:rFonts w:hint="eastAsia" w:ascii="仿宋_GB2312" w:cs="宋体"/>
          <w:bCs/>
          <w:color w:val="000000"/>
          <w:highlight w:val="yellow"/>
        </w:rPr>
        <w:t>日</w:t>
      </w:r>
      <w:r>
        <w:rPr>
          <w:rFonts w:hint="eastAsia" w:ascii="仿宋_GB2312" w:cs="宋体"/>
          <w:bCs/>
          <w:color w:val="000000"/>
          <w:highlight w:val="yellow"/>
          <w:lang w:val="en-US" w:eastAsia="zh-CN"/>
        </w:rPr>
        <w:t>9</w:t>
      </w:r>
      <w:r>
        <w:rPr>
          <w:rFonts w:ascii="仿宋_GB2312" w:cs="宋体"/>
          <w:bCs/>
          <w:color w:val="000000"/>
          <w:highlight w:val="yellow"/>
        </w:rPr>
        <w:t>时</w:t>
      </w:r>
      <w:r>
        <w:rPr>
          <w:rFonts w:hint="eastAsia" w:ascii="仿宋_GB2312" w:cs="宋体"/>
          <w:bCs/>
          <w:color w:val="000000"/>
          <w:highlight w:val="yellow"/>
        </w:rPr>
        <w:t>0</w:t>
      </w:r>
      <w:r>
        <w:rPr>
          <w:rFonts w:ascii="仿宋_GB2312" w:cs="宋体"/>
          <w:bCs/>
          <w:color w:val="000000"/>
          <w:highlight w:val="yellow"/>
        </w:rPr>
        <w:t>0分</w:t>
      </w:r>
      <w:r>
        <w:rPr>
          <w:rFonts w:hint="eastAsia" w:ascii="仿宋_GB2312" w:cs="宋体"/>
          <w:bCs/>
          <w:color w:val="000000"/>
          <w:highlight w:val="yellow"/>
        </w:rPr>
        <w:t>止</w:t>
      </w:r>
      <w:r>
        <w:rPr>
          <w:rFonts w:hint="eastAsia" w:ascii="仿宋_GB2312" w:cs="宋体"/>
          <w:bCs/>
          <w:color w:val="000000"/>
        </w:rPr>
        <w:t>。</w:t>
      </w:r>
    </w:p>
    <w:p>
      <w:pPr>
        <w:pStyle w:val="166"/>
        <w:shd w:val="clear" w:color="auto" w:fill="FFFFFF"/>
        <w:spacing w:line="480" w:lineRule="exact"/>
        <w:ind w:firstLine="480" w:firstLineChars="200"/>
        <w:jc w:val="both"/>
        <w:rPr>
          <w:rFonts w:ascii="仿宋_GB2312" w:cs="宋体"/>
          <w:bCs/>
          <w:color w:val="000000"/>
        </w:rPr>
      </w:pPr>
      <w:r>
        <w:rPr>
          <w:rFonts w:hint="eastAsia" w:ascii="仿宋_GB2312" w:cs="宋体"/>
          <w:bCs/>
          <w:color w:val="000000"/>
        </w:rPr>
        <w:t>（</w:t>
      </w:r>
      <w:r>
        <w:rPr>
          <w:rFonts w:ascii="仿宋_GB2312" w:cs="宋体"/>
          <w:bCs/>
          <w:color w:val="000000"/>
        </w:rPr>
        <w:t>2</w:t>
      </w:r>
      <w:r>
        <w:rPr>
          <w:rFonts w:hint="eastAsia" w:ascii="仿宋_GB2312" w:cs="宋体"/>
          <w:bCs/>
          <w:color w:val="000000"/>
        </w:rPr>
        <w:t>）本项目实行网上下载招标文件，投标人须自行登录湖北宜昌交运集团股份有限公司官网（</w:t>
      </w:r>
      <w:r>
        <w:rPr>
          <w:rFonts w:ascii="仿宋_GB2312" w:cs="宋体"/>
          <w:bCs/>
          <w:color w:val="000000"/>
        </w:rPr>
        <w:t>http://www.ycjyjt.com/</w:t>
      </w:r>
      <w:r>
        <w:rPr>
          <w:rFonts w:hint="eastAsia" w:ascii="仿宋_GB2312" w:cs="宋体"/>
          <w:bCs/>
          <w:color w:val="000000"/>
        </w:rPr>
        <w:t>）下载招标文件。</w:t>
      </w:r>
    </w:p>
    <w:p>
      <w:pPr>
        <w:pStyle w:val="166"/>
        <w:shd w:val="clear" w:color="auto" w:fill="FFFFFF"/>
        <w:spacing w:line="480" w:lineRule="exact"/>
        <w:ind w:firstLine="482" w:firstLineChars="200"/>
        <w:jc w:val="both"/>
        <w:rPr>
          <w:rFonts w:ascii="仿宋_GB2312" w:cs="宋体"/>
          <w:b/>
          <w:bCs/>
          <w:color w:val="000000"/>
        </w:rPr>
      </w:pPr>
      <w:r>
        <w:rPr>
          <w:rFonts w:ascii="仿宋_GB2312" w:cs="宋体"/>
          <w:b/>
          <w:bCs/>
          <w:color w:val="000000"/>
        </w:rPr>
        <w:t>5.</w:t>
      </w:r>
      <w:r>
        <w:rPr>
          <w:rFonts w:hint="eastAsia" w:ascii="仿宋_GB2312" w:cs="宋体"/>
          <w:b/>
          <w:bCs/>
          <w:color w:val="000000"/>
        </w:rPr>
        <w:t>投标文件的递交</w:t>
      </w:r>
      <w:r>
        <w:rPr>
          <w:rFonts w:ascii="仿宋_GB2312" w:cs="宋体"/>
          <w:b/>
          <w:bCs/>
          <w:color w:val="000000"/>
        </w:rPr>
        <w:t xml:space="preserve"> </w:t>
      </w:r>
    </w:p>
    <w:p>
      <w:pPr>
        <w:spacing w:line="48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投标截止时间为</w:t>
      </w:r>
      <w:r>
        <w:rPr>
          <w:rFonts w:hint="eastAsia" w:ascii="宋体" w:hAnsi="宋体" w:cs="宋体"/>
          <w:b/>
          <w:color w:val="000000"/>
          <w:kern w:val="0"/>
          <w:sz w:val="24"/>
          <w:szCs w:val="24"/>
          <w:highlight w:val="yellow"/>
        </w:rPr>
        <w:t>202</w:t>
      </w:r>
      <w:r>
        <w:rPr>
          <w:rFonts w:hint="eastAsia" w:ascii="宋体" w:hAnsi="宋体" w:cs="宋体"/>
          <w:b/>
          <w:color w:val="000000"/>
          <w:kern w:val="0"/>
          <w:sz w:val="24"/>
          <w:szCs w:val="24"/>
          <w:highlight w:val="yellow"/>
          <w:lang w:val="en-US" w:eastAsia="zh-CN"/>
        </w:rPr>
        <w:t>1</w:t>
      </w:r>
      <w:r>
        <w:rPr>
          <w:rFonts w:hint="eastAsia" w:ascii="宋体" w:hAnsi="宋体" w:cs="宋体"/>
          <w:b/>
          <w:color w:val="000000"/>
          <w:kern w:val="0"/>
          <w:sz w:val="24"/>
          <w:szCs w:val="24"/>
          <w:highlight w:val="yellow"/>
        </w:rPr>
        <w:t>年</w:t>
      </w:r>
      <w:r>
        <w:rPr>
          <w:rFonts w:hint="eastAsia" w:ascii="宋体" w:hAnsi="宋体" w:cs="宋体"/>
          <w:b/>
          <w:color w:val="000000"/>
          <w:kern w:val="0"/>
          <w:sz w:val="24"/>
          <w:szCs w:val="24"/>
          <w:highlight w:val="yellow"/>
          <w:lang w:val="en-US" w:eastAsia="zh-CN"/>
        </w:rPr>
        <w:t>1</w:t>
      </w:r>
      <w:r>
        <w:rPr>
          <w:rFonts w:hint="eastAsia" w:ascii="宋体" w:hAnsi="宋体" w:cs="宋体"/>
          <w:b/>
          <w:color w:val="000000"/>
          <w:kern w:val="0"/>
          <w:sz w:val="24"/>
          <w:szCs w:val="24"/>
          <w:highlight w:val="yellow"/>
        </w:rPr>
        <w:t>月</w:t>
      </w:r>
      <w:r>
        <w:rPr>
          <w:rFonts w:hint="eastAsia" w:ascii="宋体" w:hAnsi="宋体" w:cs="宋体"/>
          <w:b/>
          <w:color w:val="000000"/>
          <w:kern w:val="0"/>
          <w:sz w:val="24"/>
          <w:szCs w:val="24"/>
          <w:highlight w:val="yellow"/>
          <w:lang w:val="en-US" w:eastAsia="zh-CN"/>
        </w:rPr>
        <w:t>14</w:t>
      </w:r>
      <w:r>
        <w:rPr>
          <w:rFonts w:hint="eastAsia" w:ascii="宋体" w:hAnsi="宋体" w:cs="宋体"/>
          <w:b/>
          <w:color w:val="000000"/>
          <w:kern w:val="0"/>
          <w:sz w:val="24"/>
          <w:szCs w:val="24"/>
          <w:highlight w:val="yellow"/>
        </w:rPr>
        <w:t>日</w:t>
      </w:r>
      <w:r>
        <w:rPr>
          <w:rFonts w:hint="eastAsia" w:ascii="宋体" w:hAnsi="宋体" w:cs="宋体"/>
          <w:b/>
          <w:color w:val="000000"/>
          <w:kern w:val="0"/>
          <w:sz w:val="24"/>
          <w:szCs w:val="24"/>
          <w:highlight w:val="yellow"/>
          <w:lang w:val="en-US" w:eastAsia="zh-CN"/>
        </w:rPr>
        <w:t>9</w:t>
      </w:r>
      <w:bookmarkStart w:id="336" w:name="_GoBack"/>
      <w:bookmarkEnd w:id="336"/>
      <w:r>
        <w:rPr>
          <w:rFonts w:hint="eastAsia" w:ascii="宋体" w:hAnsi="宋体" w:cs="宋体"/>
          <w:b/>
          <w:color w:val="000000"/>
          <w:kern w:val="0"/>
          <w:sz w:val="24"/>
          <w:szCs w:val="24"/>
          <w:highlight w:val="yellow"/>
        </w:rPr>
        <w:t>时</w:t>
      </w:r>
      <w:r>
        <w:rPr>
          <w:rFonts w:ascii="宋体" w:hAnsi="宋体" w:cs="宋体"/>
          <w:b/>
          <w:color w:val="000000"/>
          <w:kern w:val="0"/>
          <w:sz w:val="24"/>
          <w:szCs w:val="24"/>
          <w:highlight w:val="yellow"/>
        </w:rPr>
        <w:t>0</w:t>
      </w:r>
      <w:r>
        <w:rPr>
          <w:rFonts w:hint="eastAsia" w:ascii="宋体" w:hAnsi="宋体" w:cs="宋体"/>
          <w:b/>
          <w:color w:val="000000"/>
          <w:kern w:val="0"/>
          <w:sz w:val="24"/>
          <w:szCs w:val="24"/>
          <w:highlight w:val="yellow"/>
        </w:rPr>
        <w:t>0分</w:t>
      </w:r>
      <w:r>
        <w:rPr>
          <w:rFonts w:hint="eastAsia" w:ascii="宋体" w:hAnsi="宋体" w:cs="宋体"/>
          <w:color w:val="000000"/>
          <w:kern w:val="0"/>
          <w:sz w:val="24"/>
          <w:szCs w:val="24"/>
        </w:rPr>
        <w:t>。投标人应于当日投标截止时间前将投标文件</w:t>
      </w:r>
      <w:r>
        <w:rPr>
          <w:rFonts w:hint="eastAsia" w:ascii="宋体" w:hAnsi="宋体" w:cs="宋体"/>
          <w:b/>
          <w:color w:val="000000"/>
          <w:kern w:val="0"/>
          <w:sz w:val="24"/>
          <w:szCs w:val="24"/>
        </w:rPr>
        <w:t>纸质版和电子版光盘或U盘</w:t>
      </w:r>
      <w:r>
        <w:rPr>
          <w:rFonts w:hint="eastAsia" w:ascii="宋体" w:hAnsi="宋体" w:cs="宋体"/>
          <w:color w:val="000000"/>
          <w:kern w:val="0"/>
          <w:sz w:val="24"/>
          <w:szCs w:val="24"/>
        </w:rPr>
        <w:t>递交至湖北兴焱工程咨询有限公司（宜昌市中南路35号兴发广场A座写字楼5楼），由湖北兴焱工程咨询有限公司接收，逾期送达的或者未送达指定地点的投标文件，招标人不予受理，投标截止时间与开标时间是否有变化，请关注本次招标过程中发布的变更公告或澄清修改文件中的相关信息。</w:t>
      </w:r>
    </w:p>
    <w:p>
      <w:pPr>
        <w:pStyle w:val="166"/>
        <w:shd w:val="clear" w:color="auto" w:fill="FFFFFF"/>
        <w:spacing w:line="480" w:lineRule="exact"/>
        <w:ind w:firstLine="482" w:firstLineChars="200"/>
        <w:jc w:val="both"/>
        <w:rPr>
          <w:rFonts w:ascii="仿宋_GB2312" w:cs="宋体"/>
          <w:b/>
          <w:bCs/>
          <w:color w:val="000000"/>
        </w:rPr>
      </w:pPr>
      <w:r>
        <w:rPr>
          <w:rFonts w:ascii="仿宋_GB2312" w:cs="宋体"/>
          <w:b/>
          <w:bCs/>
          <w:color w:val="000000"/>
        </w:rPr>
        <w:t>6.</w:t>
      </w:r>
      <w:r>
        <w:rPr>
          <w:rFonts w:hint="eastAsia" w:ascii="仿宋_GB2312" w:cs="宋体"/>
          <w:b/>
          <w:bCs/>
          <w:color w:val="000000"/>
        </w:rPr>
        <w:t>开标</w:t>
      </w:r>
    </w:p>
    <w:p>
      <w:pPr>
        <w:spacing w:line="48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 xml:space="preserve">本项目开标会将于投标截止时间在湖北兴焱工程咨询有限公司（宜昌市中南路35号兴发广场A座写字楼5楼）进行。投标人的法定代表人或委托代理人应携身份证明文件（法定代表人身份证明或法人授权委托书）和第二代有效身份证原件准时参加开标会，否则由评标委员会按招标文件规定处理。 </w:t>
      </w:r>
    </w:p>
    <w:p>
      <w:pPr>
        <w:pStyle w:val="166"/>
        <w:shd w:val="clear" w:color="auto" w:fill="FFFFFF"/>
        <w:spacing w:line="480" w:lineRule="exact"/>
        <w:ind w:firstLine="482" w:firstLineChars="200"/>
        <w:jc w:val="both"/>
        <w:rPr>
          <w:rFonts w:ascii="仿宋_GB2312" w:cs="宋体"/>
          <w:b/>
          <w:bCs/>
          <w:color w:val="000000"/>
        </w:rPr>
      </w:pPr>
      <w:r>
        <w:rPr>
          <w:rFonts w:ascii="仿宋_GB2312" w:cs="宋体"/>
          <w:b/>
          <w:bCs/>
          <w:color w:val="000000"/>
        </w:rPr>
        <w:t>7.</w:t>
      </w:r>
      <w:r>
        <w:rPr>
          <w:rFonts w:hint="eastAsia" w:ascii="仿宋_GB2312" w:cs="宋体"/>
          <w:b/>
          <w:bCs/>
          <w:color w:val="000000"/>
        </w:rPr>
        <w:t>合同须由中标人的法定代表人或委托代理人（必须有法定代表人授权委托书）洽谈并签署，否则视为放弃中标项目。</w:t>
      </w:r>
    </w:p>
    <w:p>
      <w:pPr>
        <w:pStyle w:val="166"/>
        <w:shd w:val="clear" w:color="auto" w:fill="FFFFFF"/>
        <w:spacing w:line="480" w:lineRule="exact"/>
        <w:ind w:firstLine="482" w:firstLineChars="200"/>
        <w:jc w:val="both"/>
        <w:rPr>
          <w:rFonts w:ascii="仿宋_GB2312" w:cs="宋体"/>
          <w:b/>
          <w:bCs/>
          <w:color w:val="000000"/>
        </w:rPr>
      </w:pPr>
      <w:r>
        <w:rPr>
          <w:rFonts w:ascii="仿宋_GB2312" w:cs="宋体"/>
          <w:b/>
          <w:bCs/>
          <w:color w:val="000000"/>
        </w:rPr>
        <w:t>8.</w:t>
      </w:r>
      <w:r>
        <w:rPr>
          <w:rFonts w:hint="eastAsia" w:ascii="仿宋_GB2312" w:cs="宋体"/>
          <w:b/>
          <w:bCs/>
          <w:color w:val="000000"/>
        </w:rPr>
        <w:t>招标公告发布媒体：宜昌交通旅游产业发展集团有限公司官网、湖北宜昌交运集团股份有限公司官网、中国采购与招标网。</w:t>
      </w:r>
    </w:p>
    <w:p>
      <w:pPr>
        <w:pStyle w:val="166"/>
        <w:shd w:val="clear" w:color="auto" w:fill="FFFFFF"/>
        <w:spacing w:line="480" w:lineRule="exact"/>
        <w:ind w:firstLine="482" w:firstLineChars="200"/>
        <w:jc w:val="both"/>
        <w:rPr>
          <w:rFonts w:ascii="仿宋_GB2312" w:cs="宋体"/>
          <w:bCs/>
          <w:color w:val="000000"/>
        </w:rPr>
      </w:pPr>
      <w:r>
        <w:rPr>
          <w:rFonts w:ascii="仿宋_GB2312" w:cs="宋体"/>
          <w:b/>
          <w:bCs/>
          <w:color w:val="000000"/>
        </w:rPr>
        <w:t>9.</w:t>
      </w:r>
      <w:r>
        <w:rPr>
          <w:rFonts w:hint="eastAsia" w:ascii="仿宋_GB2312" w:cs="宋体"/>
          <w:b/>
          <w:bCs/>
          <w:color w:val="000000"/>
        </w:rPr>
        <w:t>招标公告发布开始时间：</w:t>
      </w:r>
      <w:r>
        <w:rPr>
          <w:rFonts w:ascii="仿宋_GB2312" w:cs="宋体"/>
          <w:bCs/>
          <w:color w:val="000000"/>
          <w:highlight w:val="yellow"/>
        </w:rPr>
        <w:t>2020</w:t>
      </w:r>
      <w:r>
        <w:rPr>
          <w:rFonts w:hint="eastAsia" w:ascii="仿宋_GB2312" w:cs="宋体"/>
          <w:bCs/>
          <w:color w:val="000000"/>
          <w:highlight w:val="yellow"/>
        </w:rPr>
        <w:t>年</w:t>
      </w:r>
      <w:r>
        <w:rPr>
          <w:rFonts w:ascii="仿宋_GB2312" w:cs="宋体"/>
          <w:bCs/>
          <w:color w:val="000000"/>
          <w:highlight w:val="yellow"/>
        </w:rPr>
        <w:t>12</w:t>
      </w:r>
      <w:r>
        <w:rPr>
          <w:rFonts w:hint="eastAsia" w:ascii="仿宋_GB2312" w:cs="宋体"/>
          <w:bCs/>
          <w:color w:val="000000"/>
          <w:highlight w:val="yellow"/>
        </w:rPr>
        <w:t>月</w:t>
      </w:r>
      <w:r>
        <w:rPr>
          <w:rFonts w:hint="eastAsia" w:ascii="仿宋_GB2312" w:cs="宋体"/>
          <w:bCs/>
          <w:color w:val="000000"/>
          <w:highlight w:val="yellow"/>
          <w:lang w:val="en-US" w:eastAsia="zh-CN"/>
        </w:rPr>
        <w:t>23</w:t>
      </w:r>
      <w:r>
        <w:rPr>
          <w:rFonts w:hint="eastAsia" w:ascii="仿宋_GB2312" w:cs="宋体"/>
          <w:bCs/>
          <w:color w:val="000000"/>
          <w:highlight w:val="yellow"/>
        </w:rPr>
        <w:t>日</w:t>
      </w:r>
      <w:r>
        <w:rPr>
          <w:rFonts w:hint="eastAsia" w:ascii="仿宋_GB2312" w:cs="宋体"/>
          <w:bCs/>
          <w:color w:val="000000"/>
        </w:rPr>
        <w:t>。</w:t>
      </w:r>
    </w:p>
    <w:p>
      <w:pPr>
        <w:pStyle w:val="166"/>
        <w:shd w:val="clear" w:color="auto" w:fill="FFFFFF"/>
        <w:spacing w:line="480" w:lineRule="exact"/>
        <w:ind w:firstLine="482" w:firstLineChars="200"/>
        <w:jc w:val="both"/>
        <w:rPr>
          <w:rFonts w:ascii="仿宋_GB2312" w:cs="宋体"/>
          <w:b/>
          <w:bCs/>
          <w:color w:val="000000"/>
        </w:rPr>
      </w:pPr>
      <w:r>
        <w:rPr>
          <w:rFonts w:ascii="仿宋_GB2312" w:cs="宋体"/>
          <w:b/>
          <w:bCs/>
          <w:color w:val="000000"/>
        </w:rPr>
        <w:t>10.</w:t>
      </w:r>
      <w:r>
        <w:rPr>
          <w:rFonts w:hint="eastAsia" w:ascii="仿宋_GB2312" w:cs="宋体"/>
          <w:b/>
          <w:bCs/>
          <w:color w:val="000000"/>
        </w:rPr>
        <w:t>联系方式：</w:t>
      </w:r>
    </w:p>
    <w:p>
      <w:pPr>
        <w:widowControl/>
        <w:spacing w:line="48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招 标 人：湖北宜昌交运集团股份有限公司</w:t>
      </w:r>
    </w:p>
    <w:p>
      <w:pPr>
        <w:widowControl/>
        <w:spacing w:line="48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地    址：宜昌市港窑路5号</w:t>
      </w:r>
    </w:p>
    <w:p>
      <w:pPr>
        <w:widowControl/>
        <w:spacing w:line="48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联 系 人：周翠娥</w:t>
      </w:r>
    </w:p>
    <w:p>
      <w:pPr>
        <w:widowControl/>
        <w:spacing w:line="48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联系电话：0717-6280167</w:t>
      </w:r>
    </w:p>
    <w:p>
      <w:pPr>
        <w:widowControl/>
        <w:spacing w:line="48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招标代理机构：湖北兴焱工程咨询有限公司</w:t>
      </w:r>
    </w:p>
    <w:p>
      <w:pPr>
        <w:widowControl/>
        <w:spacing w:line="48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地    址：宜昌市中南路35号兴发广场A座写字楼5楼</w:t>
      </w:r>
    </w:p>
    <w:p>
      <w:pPr>
        <w:widowControl/>
        <w:spacing w:line="480" w:lineRule="exact"/>
        <w:ind w:firstLine="480" w:firstLineChars="200"/>
        <w:rPr>
          <w:rFonts w:ascii="宋体" w:hAnsi="宋体" w:eastAsia="宋体" w:cs="宋体"/>
          <w:color w:val="000000"/>
          <w:kern w:val="0"/>
          <w:sz w:val="24"/>
          <w:szCs w:val="24"/>
        </w:rPr>
      </w:pPr>
      <w:r>
        <w:rPr>
          <w:rFonts w:hint="eastAsia" w:ascii="宋体" w:hAnsi="宋体" w:cs="宋体"/>
          <w:color w:val="000000"/>
          <w:kern w:val="0"/>
          <w:sz w:val="24"/>
          <w:szCs w:val="24"/>
        </w:rPr>
        <w:t>联 系 人：徐晓玲</w:t>
      </w:r>
    </w:p>
    <w:p>
      <w:pPr>
        <w:widowControl/>
        <w:spacing w:line="480" w:lineRule="exact"/>
        <w:ind w:firstLine="480" w:firstLineChars="200"/>
        <w:rPr>
          <w:rFonts w:ascii="宋体" w:hAnsi="宋体" w:eastAsia="宋体" w:cs="宋体"/>
          <w:color w:val="000000"/>
          <w:kern w:val="0"/>
          <w:sz w:val="24"/>
          <w:szCs w:val="24"/>
        </w:rPr>
      </w:pPr>
      <w:r>
        <w:rPr>
          <w:rFonts w:hint="eastAsia" w:ascii="宋体" w:hAnsi="宋体" w:cs="宋体"/>
          <w:color w:val="000000"/>
          <w:kern w:val="0"/>
          <w:sz w:val="24"/>
          <w:szCs w:val="24"/>
        </w:rPr>
        <w:t>联系电话：0717-6485566-8034</w:t>
      </w:r>
    </w:p>
    <w:p>
      <w:pPr>
        <w:widowControl/>
        <w:spacing w:line="480" w:lineRule="exact"/>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日    期：</w:t>
      </w:r>
      <w:r>
        <w:rPr>
          <w:rFonts w:hint="eastAsia" w:ascii="宋体" w:hAnsi="宋体" w:cs="宋体"/>
          <w:color w:val="000000"/>
          <w:kern w:val="0"/>
          <w:sz w:val="24"/>
          <w:szCs w:val="24"/>
          <w:highlight w:val="yellow"/>
        </w:rPr>
        <w:t>2020年</w:t>
      </w:r>
      <w:r>
        <w:rPr>
          <w:rFonts w:ascii="宋体" w:hAnsi="宋体" w:cs="宋体"/>
          <w:color w:val="000000"/>
          <w:kern w:val="0"/>
          <w:sz w:val="24"/>
          <w:szCs w:val="24"/>
          <w:highlight w:val="yellow"/>
        </w:rPr>
        <w:t>12</w:t>
      </w:r>
      <w:r>
        <w:rPr>
          <w:rFonts w:hint="eastAsia" w:ascii="宋体" w:hAnsi="宋体" w:cs="宋体"/>
          <w:color w:val="000000"/>
          <w:kern w:val="0"/>
          <w:sz w:val="24"/>
          <w:szCs w:val="24"/>
          <w:highlight w:val="yellow"/>
        </w:rPr>
        <w:t>月</w:t>
      </w:r>
      <w:r>
        <w:rPr>
          <w:rFonts w:hint="eastAsia" w:ascii="宋体" w:hAnsi="宋体" w:cs="宋体"/>
          <w:color w:val="000000"/>
          <w:kern w:val="0"/>
          <w:sz w:val="24"/>
          <w:szCs w:val="24"/>
          <w:highlight w:val="yellow"/>
          <w:lang w:val="en-US" w:eastAsia="zh-CN"/>
        </w:rPr>
        <w:t>23</w:t>
      </w:r>
      <w:r>
        <w:rPr>
          <w:rFonts w:hint="eastAsia" w:ascii="宋体" w:hAnsi="宋体" w:cs="宋体"/>
          <w:color w:val="000000"/>
          <w:kern w:val="0"/>
          <w:sz w:val="24"/>
          <w:szCs w:val="24"/>
          <w:highlight w:val="yellow"/>
        </w:rPr>
        <w:t>日</w:t>
      </w:r>
      <w:r>
        <w:rPr>
          <w:rFonts w:hint="eastAsia" w:ascii="宋体" w:hAnsi="宋体" w:cs="宋体"/>
          <w:color w:val="000000"/>
          <w:kern w:val="0"/>
          <w:sz w:val="24"/>
          <w:szCs w:val="24"/>
        </w:rPr>
        <w:t xml:space="preserve"> </w:t>
      </w:r>
    </w:p>
    <w:p>
      <w:pPr>
        <w:pStyle w:val="5"/>
        <w:pageBreakBefore/>
        <w:spacing w:before="240" w:beforeLines="100" w:after="240" w:afterLines="100"/>
        <w:rPr>
          <w:rFonts w:cs="宋体"/>
          <w:color w:val="000000"/>
        </w:rPr>
      </w:pPr>
      <w:bookmarkStart w:id="8" w:name="_Toc911"/>
      <w:bookmarkStart w:id="9" w:name="_Toc8140"/>
      <w:r>
        <w:rPr>
          <w:rFonts w:hint="eastAsia" w:cs="宋体"/>
          <w:color w:val="000000"/>
        </w:rPr>
        <w:t>第二章  投标人须知</w:t>
      </w:r>
      <w:bookmarkEnd w:id="7"/>
      <w:bookmarkEnd w:id="8"/>
      <w:bookmarkEnd w:id="9"/>
    </w:p>
    <w:p>
      <w:pPr>
        <w:pStyle w:val="6"/>
        <w:spacing w:line="480" w:lineRule="exact"/>
        <w:rPr>
          <w:rFonts w:ascii="黑体" w:hAnsi="黑体" w:eastAsia="黑体" w:cs="宋体"/>
          <w:b w:val="0"/>
          <w:color w:val="000000"/>
        </w:rPr>
      </w:pPr>
      <w:bookmarkStart w:id="10" w:name="_Toc522293504"/>
      <w:bookmarkStart w:id="11" w:name="_Toc301"/>
      <w:bookmarkStart w:id="12" w:name="_Toc3682"/>
      <w:r>
        <w:rPr>
          <w:rFonts w:hint="eastAsia" w:ascii="黑体" w:hAnsi="黑体" w:eastAsia="黑体" w:cs="宋体"/>
          <w:b w:val="0"/>
          <w:color w:val="000000"/>
        </w:rPr>
        <w:t>投标人须知前附表</w:t>
      </w:r>
      <w:bookmarkEnd w:id="10"/>
      <w:bookmarkEnd w:id="11"/>
      <w:bookmarkEnd w:id="12"/>
    </w:p>
    <w:tbl>
      <w:tblPr>
        <w:tblStyle w:val="44"/>
        <w:tblW w:w="88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8"/>
        <w:gridCol w:w="1701"/>
        <w:gridCol w:w="61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条款号</w:t>
            </w:r>
          </w:p>
        </w:tc>
        <w:tc>
          <w:tcPr>
            <w:tcW w:w="1701" w:type="dxa"/>
            <w:shd w:val="clear" w:color="auto" w:fill="FFFFFF"/>
            <w:vAlign w:val="center"/>
          </w:tcPr>
          <w:p>
            <w:pPr>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条款名称</w:t>
            </w:r>
          </w:p>
        </w:tc>
        <w:tc>
          <w:tcPr>
            <w:tcW w:w="6145" w:type="dxa"/>
            <w:shd w:val="clear" w:color="auto" w:fill="FFFFFF"/>
            <w:vAlign w:val="center"/>
          </w:tcPr>
          <w:p>
            <w:pPr>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1.1.2</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招标人</w:t>
            </w:r>
          </w:p>
        </w:tc>
        <w:tc>
          <w:tcPr>
            <w:tcW w:w="6145" w:type="dxa"/>
            <w:shd w:val="clear" w:color="auto" w:fill="FFFFFF"/>
            <w:vAlign w:val="center"/>
          </w:tcPr>
          <w:p>
            <w:pPr>
              <w:jc w:val="left"/>
              <w:rPr>
                <w:rFonts w:hAnsi="宋体" w:cs="宋体"/>
                <w:color w:val="000000"/>
                <w:kern w:val="0"/>
                <w:sz w:val="24"/>
                <w:szCs w:val="24"/>
              </w:rPr>
            </w:pPr>
            <w:r>
              <w:rPr>
                <w:rFonts w:hint="eastAsia" w:hAnsi="宋体" w:cs="宋体"/>
                <w:color w:val="000000"/>
                <w:kern w:val="0"/>
                <w:sz w:val="24"/>
                <w:szCs w:val="24"/>
              </w:rPr>
              <w:t>招</w:t>
            </w:r>
            <w:r>
              <w:rPr>
                <w:rFonts w:hAnsi="宋体" w:cs="宋体"/>
                <w:color w:val="000000"/>
                <w:kern w:val="0"/>
                <w:sz w:val="24"/>
                <w:szCs w:val="24"/>
              </w:rPr>
              <w:t xml:space="preserve"> </w:t>
            </w:r>
            <w:r>
              <w:rPr>
                <w:rFonts w:hint="eastAsia" w:hAnsi="宋体" w:cs="宋体"/>
                <w:color w:val="000000"/>
                <w:kern w:val="0"/>
                <w:sz w:val="24"/>
                <w:szCs w:val="24"/>
              </w:rPr>
              <w:t>标</w:t>
            </w:r>
            <w:r>
              <w:rPr>
                <w:rFonts w:hAnsi="宋体" w:cs="宋体"/>
                <w:color w:val="000000"/>
                <w:kern w:val="0"/>
                <w:sz w:val="24"/>
                <w:szCs w:val="24"/>
              </w:rPr>
              <w:t xml:space="preserve"> </w:t>
            </w:r>
            <w:r>
              <w:rPr>
                <w:rFonts w:hint="eastAsia" w:hAnsi="宋体" w:cs="宋体"/>
                <w:color w:val="000000"/>
                <w:kern w:val="0"/>
                <w:sz w:val="24"/>
                <w:szCs w:val="24"/>
              </w:rPr>
              <w:t>人：湖北宜昌交运集团股份有限公司</w:t>
            </w:r>
          </w:p>
          <w:p>
            <w:pPr>
              <w:jc w:val="left"/>
              <w:rPr>
                <w:rFonts w:hAnsi="宋体" w:cs="宋体"/>
                <w:color w:val="000000"/>
                <w:kern w:val="0"/>
                <w:sz w:val="24"/>
                <w:szCs w:val="24"/>
              </w:rPr>
            </w:pPr>
            <w:r>
              <w:rPr>
                <w:rFonts w:hint="eastAsia" w:hAnsi="宋体" w:cs="宋体"/>
                <w:color w:val="000000"/>
                <w:kern w:val="0"/>
                <w:sz w:val="24"/>
                <w:szCs w:val="24"/>
              </w:rPr>
              <w:t>地</w:t>
            </w:r>
            <w:r>
              <w:rPr>
                <w:rFonts w:hAnsi="宋体" w:cs="宋体"/>
                <w:color w:val="000000"/>
                <w:kern w:val="0"/>
                <w:sz w:val="24"/>
                <w:szCs w:val="24"/>
              </w:rPr>
              <w:t xml:space="preserve">    </w:t>
            </w:r>
            <w:r>
              <w:rPr>
                <w:rFonts w:hint="eastAsia" w:hAnsi="宋体" w:cs="宋体"/>
                <w:color w:val="000000"/>
                <w:kern w:val="0"/>
                <w:sz w:val="24"/>
                <w:szCs w:val="24"/>
              </w:rPr>
              <w:t>址：宜昌市港窑路</w:t>
            </w:r>
            <w:r>
              <w:rPr>
                <w:rFonts w:hAnsi="宋体" w:cs="宋体"/>
                <w:color w:val="000000"/>
                <w:kern w:val="0"/>
                <w:sz w:val="24"/>
                <w:szCs w:val="24"/>
              </w:rPr>
              <w:t>5</w:t>
            </w:r>
            <w:r>
              <w:rPr>
                <w:rFonts w:hint="eastAsia" w:hAnsi="宋体" w:cs="宋体"/>
                <w:color w:val="000000"/>
                <w:kern w:val="0"/>
                <w:sz w:val="24"/>
                <w:szCs w:val="24"/>
              </w:rPr>
              <w:t>号</w:t>
            </w:r>
          </w:p>
          <w:p>
            <w:pPr>
              <w:widowControl/>
              <w:jc w:val="left"/>
              <w:rPr>
                <w:rFonts w:hAnsi="宋体" w:cs="宋体"/>
                <w:color w:val="000000"/>
                <w:kern w:val="0"/>
                <w:sz w:val="24"/>
                <w:szCs w:val="24"/>
              </w:rPr>
            </w:pPr>
            <w:r>
              <w:rPr>
                <w:rFonts w:hint="eastAsia" w:hAnsi="宋体" w:cs="宋体"/>
                <w:color w:val="000000"/>
                <w:kern w:val="0"/>
                <w:sz w:val="24"/>
                <w:szCs w:val="24"/>
              </w:rPr>
              <w:t>联</w:t>
            </w:r>
            <w:r>
              <w:rPr>
                <w:rFonts w:hAnsi="宋体" w:cs="宋体"/>
                <w:color w:val="000000"/>
                <w:kern w:val="0"/>
                <w:sz w:val="24"/>
                <w:szCs w:val="24"/>
              </w:rPr>
              <w:t xml:space="preserve"> </w:t>
            </w:r>
            <w:r>
              <w:rPr>
                <w:rFonts w:hint="eastAsia" w:hAnsi="宋体" w:cs="宋体"/>
                <w:color w:val="000000"/>
                <w:kern w:val="0"/>
                <w:sz w:val="24"/>
                <w:szCs w:val="24"/>
              </w:rPr>
              <w:t>系</w:t>
            </w:r>
            <w:r>
              <w:rPr>
                <w:rFonts w:hAnsi="宋体" w:cs="宋体"/>
                <w:color w:val="000000"/>
                <w:kern w:val="0"/>
                <w:sz w:val="24"/>
                <w:szCs w:val="24"/>
              </w:rPr>
              <w:t xml:space="preserve"> </w:t>
            </w:r>
            <w:r>
              <w:rPr>
                <w:rFonts w:hint="eastAsia" w:hAnsi="宋体" w:cs="宋体"/>
                <w:color w:val="000000"/>
                <w:kern w:val="0"/>
                <w:sz w:val="24"/>
                <w:szCs w:val="24"/>
              </w:rPr>
              <w:t>人：周翠娥</w:t>
            </w:r>
          </w:p>
          <w:p>
            <w:pPr>
              <w:jc w:val="left"/>
              <w:rPr>
                <w:rFonts w:hAnsi="宋体" w:cs="宋体"/>
                <w:color w:val="000000"/>
                <w:kern w:val="0"/>
                <w:sz w:val="24"/>
                <w:szCs w:val="24"/>
              </w:rPr>
            </w:pPr>
            <w:r>
              <w:rPr>
                <w:rFonts w:hint="eastAsia" w:hAnsi="宋体" w:cs="宋体"/>
                <w:color w:val="000000"/>
                <w:kern w:val="0"/>
                <w:sz w:val="24"/>
                <w:szCs w:val="24"/>
              </w:rPr>
              <w:t>联系电话：</w:t>
            </w:r>
            <w:r>
              <w:rPr>
                <w:rFonts w:hAnsi="宋体" w:cs="宋体"/>
                <w:color w:val="000000"/>
                <w:kern w:val="0"/>
                <w:sz w:val="24"/>
                <w:szCs w:val="24"/>
              </w:rPr>
              <w:t>0717-6280167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1.1.3</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招标代理机构</w:t>
            </w:r>
          </w:p>
        </w:tc>
        <w:tc>
          <w:tcPr>
            <w:tcW w:w="6145" w:type="dxa"/>
            <w:shd w:val="clear" w:color="auto" w:fill="FFFFFF"/>
            <w:vAlign w:val="center"/>
          </w:tcPr>
          <w:p>
            <w:pPr>
              <w:rPr>
                <w:rFonts w:hAnsi="宋体" w:cs="宋体"/>
                <w:color w:val="000000"/>
                <w:kern w:val="0"/>
                <w:sz w:val="24"/>
                <w:szCs w:val="24"/>
              </w:rPr>
            </w:pPr>
            <w:r>
              <w:rPr>
                <w:rFonts w:hint="eastAsia" w:hAnsi="宋体" w:cs="宋体"/>
                <w:color w:val="000000"/>
                <w:kern w:val="0"/>
                <w:sz w:val="24"/>
                <w:szCs w:val="24"/>
              </w:rPr>
              <w:t>招标代理机构：湖北兴焱工程咨询有限公司</w:t>
            </w:r>
          </w:p>
          <w:p>
            <w:pPr>
              <w:rPr>
                <w:rFonts w:hAnsi="宋体" w:cs="宋体"/>
                <w:color w:val="000000"/>
                <w:kern w:val="0"/>
                <w:sz w:val="24"/>
                <w:szCs w:val="24"/>
              </w:rPr>
            </w:pPr>
            <w:r>
              <w:rPr>
                <w:rFonts w:hint="eastAsia" w:hAnsi="宋体" w:cs="宋体"/>
                <w:color w:val="000000"/>
                <w:kern w:val="0"/>
                <w:sz w:val="24"/>
                <w:szCs w:val="24"/>
              </w:rPr>
              <w:t>地</w:t>
            </w:r>
            <w:r>
              <w:rPr>
                <w:rFonts w:hAnsi="宋体" w:cs="宋体"/>
                <w:color w:val="000000"/>
                <w:kern w:val="0"/>
                <w:sz w:val="24"/>
                <w:szCs w:val="24"/>
              </w:rPr>
              <w:t xml:space="preserve">    </w:t>
            </w:r>
            <w:r>
              <w:rPr>
                <w:rFonts w:hint="eastAsia" w:hAnsi="宋体" w:cs="宋体"/>
                <w:color w:val="000000"/>
                <w:kern w:val="0"/>
                <w:sz w:val="24"/>
                <w:szCs w:val="24"/>
              </w:rPr>
              <w:t>址：宜昌市中南路</w:t>
            </w:r>
            <w:r>
              <w:rPr>
                <w:rFonts w:hAnsi="宋体" w:cs="宋体"/>
                <w:color w:val="000000"/>
                <w:kern w:val="0"/>
                <w:sz w:val="24"/>
                <w:szCs w:val="24"/>
              </w:rPr>
              <w:t>35</w:t>
            </w:r>
            <w:r>
              <w:rPr>
                <w:rFonts w:hint="eastAsia" w:hAnsi="宋体" w:cs="宋体"/>
                <w:color w:val="000000"/>
                <w:kern w:val="0"/>
                <w:sz w:val="24"/>
                <w:szCs w:val="24"/>
              </w:rPr>
              <w:t>号兴发广场</w:t>
            </w:r>
            <w:r>
              <w:rPr>
                <w:rFonts w:hAnsi="宋体" w:cs="宋体"/>
                <w:color w:val="000000"/>
                <w:kern w:val="0"/>
                <w:sz w:val="24"/>
                <w:szCs w:val="24"/>
              </w:rPr>
              <w:t>A</w:t>
            </w:r>
            <w:r>
              <w:rPr>
                <w:rFonts w:hint="eastAsia" w:hAnsi="宋体" w:cs="宋体"/>
                <w:color w:val="000000"/>
                <w:kern w:val="0"/>
                <w:sz w:val="24"/>
                <w:szCs w:val="24"/>
              </w:rPr>
              <w:t>座写字楼</w:t>
            </w:r>
            <w:r>
              <w:rPr>
                <w:rFonts w:hAnsi="宋体" w:cs="宋体"/>
                <w:color w:val="000000"/>
                <w:kern w:val="0"/>
                <w:sz w:val="24"/>
                <w:szCs w:val="24"/>
              </w:rPr>
              <w:t>5</w:t>
            </w:r>
            <w:r>
              <w:rPr>
                <w:rFonts w:hint="eastAsia" w:hAnsi="宋体" w:cs="宋体"/>
                <w:color w:val="000000"/>
                <w:kern w:val="0"/>
                <w:sz w:val="24"/>
                <w:szCs w:val="24"/>
              </w:rPr>
              <w:t>楼</w:t>
            </w:r>
          </w:p>
          <w:p>
            <w:pPr>
              <w:widowControl/>
              <w:jc w:val="left"/>
              <w:rPr>
                <w:rFonts w:hAnsi="宋体" w:cs="宋体"/>
                <w:color w:val="000000"/>
                <w:kern w:val="0"/>
                <w:sz w:val="24"/>
                <w:szCs w:val="24"/>
              </w:rPr>
            </w:pPr>
            <w:r>
              <w:rPr>
                <w:rFonts w:hint="eastAsia" w:hAnsi="宋体" w:cs="宋体"/>
                <w:color w:val="000000"/>
                <w:kern w:val="0"/>
                <w:sz w:val="24"/>
                <w:szCs w:val="24"/>
              </w:rPr>
              <w:t>联</w:t>
            </w:r>
            <w:r>
              <w:rPr>
                <w:rFonts w:hAnsi="宋体" w:cs="宋体"/>
                <w:color w:val="000000"/>
                <w:kern w:val="0"/>
                <w:sz w:val="24"/>
                <w:szCs w:val="24"/>
              </w:rPr>
              <w:t xml:space="preserve"> </w:t>
            </w:r>
            <w:r>
              <w:rPr>
                <w:rFonts w:hint="eastAsia" w:hAnsi="宋体" w:cs="宋体"/>
                <w:color w:val="000000"/>
                <w:kern w:val="0"/>
                <w:sz w:val="24"/>
                <w:szCs w:val="24"/>
              </w:rPr>
              <w:t>系</w:t>
            </w:r>
            <w:r>
              <w:rPr>
                <w:rFonts w:hAnsi="宋体" w:cs="宋体"/>
                <w:color w:val="000000"/>
                <w:kern w:val="0"/>
                <w:sz w:val="24"/>
                <w:szCs w:val="24"/>
              </w:rPr>
              <w:t xml:space="preserve"> </w:t>
            </w:r>
            <w:r>
              <w:rPr>
                <w:rFonts w:hint="eastAsia" w:hAnsi="宋体" w:cs="宋体"/>
                <w:color w:val="000000"/>
                <w:kern w:val="0"/>
                <w:sz w:val="24"/>
                <w:szCs w:val="24"/>
              </w:rPr>
              <w:t>人：徐晓玲</w:t>
            </w:r>
          </w:p>
          <w:p>
            <w:pPr>
              <w:rPr>
                <w:rFonts w:hAnsi="宋体" w:cs="宋体"/>
                <w:color w:val="000000"/>
                <w:kern w:val="0"/>
                <w:sz w:val="24"/>
                <w:szCs w:val="24"/>
              </w:rPr>
            </w:pPr>
            <w:r>
              <w:rPr>
                <w:rFonts w:hint="eastAsia" w:hAnsi="宋体" w:cs="宋体"/>
                <w:color w:val="000000"/>
                <w:kern w:val="0"/>
                <w:sz w:val="24"/>
                <w:szCs w:val="24"/>
              </w:rPr>
              <w:t>联系电话：</w:t>
            </w:r>
            <w:r>
              <w:rPr>
                <w:rFonts w:hAnsi="宋体" w:cs="宋体"/>
                <w:color w:val="000000"/>
                <w:kern w:val="0"/>
                <w:sz w:val="24"/>
                <w:szCs w:val="24"/>
              </w:rPr>
              <w:t>0717-6485566-8034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1.1.4</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项目名称</w:t>
            </w:r>
          </w:p>
        </w:tc>
        <w:tc>
          <w:tcPr>
            <w:tcW w:w="6145" w:type="dxa"/>
            <w:shd w:val="clear" w:color="auto" w:fill="FFFFFF"/>
            <w:vAlign w:val="center"/>
          </w:tcPr>
          <w:p>
            <w:pPr>
              <w:rPr>
                <w:rFonts w:hAnsi="宋体" w:cs="宋体"/>
                <w:color w:val="000000"/>
                <w:kern w:val="0"/>
                <w:sz w:val="24"/>
                <w:szCs w:val="24"/>
              </w:rPr>
            </w:pPr>
            <w:r>
              <w:rPr>
                <w:rFonts w:hint="eastAsia" w:hAnsi="宋体" w:cs="宋体"/>
                <w:color w:val="000000"/>
                <w:kern w:val="0"/>
                <w:sz w:val="24"/>
                <w:szCs w:val="24"/>
              </w:rPr>
              <w:t>物业租赁智能用电管理系统改造升级项目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1.1.5</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交付地点</w:t>
            </w:r>
          </w:p>
        </w:tc>
        <w:tc>
          <w:tcPr>
            <w:tcW w:w="6145" w:type="dxa"/>
            <w:shd w:val="clear" w:color="auto" w:fill="FFFFFF"/>
            <w:vAlign w:val="center"/>
          </w:tcPr>
          <w:p>
            <w:pPr>
              <w:rPr>
                <w:rFonts w:hAnsi="宋体" w:cs="宋体"/>
                <w:color w:val="000000"/>
                <w:kern w:val="0"/>
                <w:sz w:val="24"/>
                <w:szCs w:val="24"/>
              </w:rPr>
            </w:pPr>
            <w:bookmarkStart w:id="13" w:name="EBde274196658e45c5b1cb9db216802bf9"/>
            <w:bookmarkEnd w:id="13"/>
            <w:r>
              <w:rPr>
                <w:rFonts w:hint="eastAsia" w:hAnsi="宋体" w:cs="宋体"/>
                <w:color w:val="000000"/>
                <w:kern w:val="0"/>
                <w:sz w:val="24"/>
                <w:szCs w:val="24"/>
                <w:lang w:val="zh-CN"/>
              </w:rPr>
              <w:t>招标人指定地点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1.2.1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资金来源</w:t>
            </w:r>
          </w:p>
        </w:tc>
        <w:tc>
          <w:tcPr>
            <w:tcW w:w="6145" w:type="dxa"/>
            <w:shd w:val="clear" w:color="auto" w:fill="FFFFFF"/>
            <w:vAlign w:val="center"/>
          </w:tcPr>
          <w:p>
            <w:pPr>
              <w:rPr>
                <w:rFonts w:hAnsi="宋体" w:cs="宋体"/>
                <w:color w:val="000000"/>
                <w:kern w:val="0"/>
                <w:sz w:val="24"/>
                <w:szCs w:val="24"/>
              </w:rPr>
            </w:pPr>
            <w:bookmarkStart w:id="14" w:name="EB5d53793f3b064a5eb3ee160a5765765c"/>
            <w:bookmarkEnd w:id="14"/>
            <w:r>
              <w:rPr>
                <w:rFonts w:hint="eastAsia" w:hAnsi="宋体" w:cs="宋体"/>
                <w:color w:val="000000"/>
                <w:kern w:val="0"/>
                <w:sz w:val="24"/>
                <w:szCs w:val="24"/>
              </w:rPr>
              <w:t>企业自筹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1.2.2</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资金落实情况</w:t>
            </w:r>
          </w:p>
        </w:tc>
        <w:tc>
          <w:tcPr>
            <w:tcW w:w="6145" w:type="dxa"/>
            <w:shd w:val="clear" w:color="auto" w:fill="FFFFFF"/>
            <w:vAlign w:val="center"/>
          </w:tcPr>
          <w:p>
            <w:pPr>
              <w:rPr>
                <w:rFonts w:hAnsi="宋体" w:cs="宋体"/>
                <w:color w:val="000000"/>
                <w:kern w:val="0"/>
                <w:sz w:val="24"/>
                <w:szCs w:val="24"/>
              </w:rPr>
            </w:pPr>
            <w:bookmarkStart w:id="15" w:name="EBf953ec32c284435eaad730150a2f24b6"/>
            <w:bookmarkEnd w:id="15"/>
            <w:r>
              <w:rPr>
                <w:rFonts w:hint="eastAsia" w:hAnsi="宋体" w:cs="宋体"/>
                <w:color w:val="000000"/>
                <w:kern w:val="0"/>
                <w:sz w:val="24"/>
                <w:szCs w:val="24"/>
              </w:rPr>
              <w:t>已落实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4"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1.3.1</w:t>
            </w:r>
          </w:p>
        </w:tc>
        <w:tc>
          <w:tcPr>
            <w:tcW w:w="1701" w:type="dxa"/>
            <w:shd w:val="clear" w:color="auto" w:fill="FFFFFF"/>
            <w:vAlign w:val="center"/>
          </w:tcPr>
          <w:p>
            <w:pPr>
              <w:jc w:val="center"/>
              <w:rPr>
                <w:rFonts w:hAnsi="宋体" w:cs="宋体"/>
                <w:kern w:val="0"/>
                <w:sz w:val="24"/>
                <w:szCs w:val="24"/>
              </w:rPr>
            </w:pPr>
            <w:r>
              <w:rPr>
                <w:rFonts w:hint="eastAsia" w:hAnsi="宋体" w:cs="宋体"/>
                <w:kern w:val="0"/>
                <w:sz w:val="24"/>
                <w:szCs w:val="24"/>
              </w:rPr>
              <w:t>招标内容</w:t>
            </w:r>
          </w:p>
        </w:tc>
        <w:tc>
          <w:tcPr>
            <w:tcW w:w="6145" w:type="dxa"/>
            <w:shd w:val="clear" w:color="auto" w:fill="FFFFFF"/>
            <w:vAlign w:val="center"/>
          </w:tcPr>
          <w:p>
            <w:pPr>
              <w:pStyle w:val="166"/>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_GB2312" w:cs="宋体"/>
                <w:lang w:val="zh-CN"/>
              </w:rPr>
            </w:pPr>
            <w:bookmarkStart w:id="16" w:name="EB75c79fb771dc4e07a8a759d7551ff4a8"/>
            <w:bookmarkEnd w:id="16"/>
            <w:bookmarkStart w:id="17" w:name="_Hlk57815371"/>
            <w:bookmarkStart w:id="18" w:name="_Hlk57821923"/>
            <w:r>
              <w:rPr>
                <w:rFonts w:hint="eastAsia" w:cs="宋体"/>
                <w:lang w:val="zh-CN"/>
              </w:rPr>
              <w:t>物业租赁智能用电管理系统设计方案（含管理系统软件开发设计、设施设备安装施工设计等）；物业租赁智能用电管理系统软件平台开发（含开发、许可、部署、调试、异构系统对接等，满足用电管理需求）；物业租赁智能用电管理系统设施设备采购（含终端电表、电表内置模块、数据采集器（集中器）及相关辅材）；物业租赁智能用电管理系统设施设备安装及改造（含前述设施设备的安装、存量设施设备的改造、所有设施设备的调试和连接），具体详见清单。</w:t>
            </w:r>
          </w:p>
          <w:bookmarkEnd w:id="17"/>
          <w:p>
            <w:pPr>
              <w:pStyle w:val="166"/>
              <w:keepNext w:val="0"/>
              <w:keepLines w:val="0"/>
              <w:pageBreakBefore w:val="0"/>
              <w:widowControl/>
              <w:shd w:val="clear" w:color="auto" w:fill="FFFFFF"/>
              <w:kinsoku/>
              <w:wordWrap/>
              <w:overflowPunct/>
              <w:topLinePunct w:val="0"/>
              <w:autoSpaceDE/>
              <w:autoSpaceDN/>
              <w:bidi w:val="0"/>
              <w:adjustRightInd/>
              <w:snapToGrid/>
              <w:spacing w:line="460" w:lineRule="exact"/>
              <w:textAlignment w:val="auto"/>
              <w:rPr>
                <w:rFonts w:ascii="仿宋_GB2312" w:cs="宋体"/>
              </w:rPr>
            </w:pPr>
            <w:r>
              <w:rPr>
                <w:rFonts w:hint="eastAsia" w:ascii="仿宋_GB2312" w:cs="宋体"/>
                <w:lang w:val="zh-CN"/>
              </w:rPr>
              <w:t>（详见第五章商务及技术要求）</w:t>
            </w:r>
            <w:bookmarkEnd w:id="18"/>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1.3.2</w:t>
            </w:r>
          </w:p>
        </w:tc>
        <w:tc>
          <w:tcPr>
            <w:tcW w:w="1701" w:type="dxa"/>
            <w:shd w:val="clear" w:color="auto" w:fill="FFFFFF"/>
            <w:vAlign w:val="center"/>
          </w:tcPr>
          <w:p>
            <w:pPr>
              <w:jc w:val="center"/>
              <w:rPr>
                <w:rFonts w:hAnsi="宋体" w:cs="宋体"/>
                <w:color w:val="000000"/>
                <w:kern w:val="0"/>
                <w:highlight w:val="yellow"/>
              </w:rPr>
            </w:pPr>
            <w:r>
              <w:rPr>
                <w:rFonts w:hint="eastAsia" w:hAnsi="宋体" w:cs="宋体"/>
                <w:color w:val="000000"/>
                <w:kern w:val="0"/>
                <w:sz w:val="24"/>
                <w:szCs w:val="24"/>
                <w:lang w:val="zh-CN"/>
              </w:rPr>
              <w:t>交付时间</w:t>
            </w:r>
          </w:p>
        </w:tc>
        <w:tc>
          <w:tcPr>
            <w:tcW w:w="6145" w:type="dxa"/>
            <w:shd w:val="clear" w:color="auto" w:fill="FFFFFF"/>
            <w:vAlign w:val="center"/>
          </w:tcPr>
          <w:p>
            <w:pPr>
              <w:jc w:val="left"/>
              <w:rPr>
                <w:rFonts w:hAnsi="宋体" w:cs="宋体"/>
                <w:color w:val="000000"/>
                <w:kern w:val="0"/>
                <w:highlight w:val="yellow"/>
              </w:rPr>
            </w:pPr>
            <w:r>
              <w:rPr>
                <w:rFonts w:hint="eastAsia" w:hAnsi="宋体" w:cs="宋体"/>
                <w:color w:val="000000"/>
                <w:kern w:val="0"/>
                <w:sz w:val="24"/>
                <w:szCs w:val="24"/>
              </w:rPr>
              <w:t>合同签订后1</w:t>
            </w:r>
            <w:r>
              <w:rPr>
                <w:rFonts w:hAnsi="宋体" w:cs="宋体"/>
                <w:color w:val="000000"/>
                <w:kern w:val="0"/>
                <w:sz w:val="24"/>
                <w:szCs w:val="24"/>
              </w:rPr>
              <w:t>20</w:t>
            </w:r>
            <w:r>
              <w:rPr>
                <w:rFonts w:hint="eastAsia" w:hAnsi="宋体" w:cs="宋体"/>
                <w:color w:val="000000"/>
                <w:kern w:val="0"/>
                <w:sz w:val="24"/>
                <w:szCs w:val="24"/>
              </w:rPr>
              <w:t>日历天内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1.3.3</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资格审查方式</w:t>
            </w:r>
          </w:p>
        </w:tc>
        <w:tc>
          <w:tcPr>
            <w:tcW w:w="6145" w:type="dxa"/>
            <w:shd w:val="clear" w:color="auto" w:fill="FFFFFF"/>
            <w:vAlign w:val="center"/>
          </w:tcPr>
          <w:p>
            <w:pPr>
              <w:rPr>
                <w:rFonts w:hAnsi="宋体" w:cs="宋体"/>
                <w:color w:val="000000"/>
                <w:kern w:val="0"/>
                <w:sz w:val="24"/>
                <w:szCs w:val="24"/>
              </w:rPr>
            </w:pPr>
            <w:bookmarkStart w:id="19" w:name="EBfb35baf2d17c40b0a73d526f43f1f05f"/>
            <w:bookmarkEnd w:id="19"/>
            <w:r>
              <w:rPr>
                <w:rFonts w:hint="eastAsia" w:hAnsi="宋体" w:cs="宋体"/>
                <w:color w:val="000000"/>
                <w:kern w:val="0"/>
                <w:sz w:val="24"/>
                <w:szCs w:val="24"/>
              </w:rPr>
              <w:t>资格后审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1.3.4</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招标方式</w:t>
            </w:r>
          </w:p>
        </w:tc>
        <w:tc>
          <w:tcPr>
            <w:tcW w:w="6145" w:type="dxa"/>
            <w:shd w:val="clear" w:color="auto" w:fill="FFFFFF"/>
            <w:vAlign w:val="center"/>
          </w:tcPr>
          <w:p>
            <w:pPr>
              <w:rPr>
                <w:rFonts w:hAnsi="宋体" w:cs="宋体"/>
                <w:color w:val="000000"/>
                <w:kern w:val="0"/>
                <w:sz w:val="24"/>
                <w:szCs w:val="24"/>
              </w:rPr>
            </w:pPr>
            <w:bookmarkStart w:id="20" w:name="EBff70116223de4b8e8451c34577c8886c"/>
            <w:bookmarkEnd w:id="20"/>
            <w:r>
              <w:rPr>
                <w:rFonts w:hint="eastAsia" w:hAnsi="宋体" w:cs="宋体"/>
                <w:color w:val="000000"/>
                <w:kern w:val="0"/>
                <w:sz w:val="24"/>
                <w:szCs w:val="24"/>
              </w:rPr>
              <w:t>公开招标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0"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1.4.1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投标人资质</w:t>
            </w:r>
          </w:p>
          <w:p>
            <w:pPr>
              <w:jc w:val="center"/>
              <w:rPr>
                <w:rFonts w:hAnsi="宋体" w:cs="宋体"/>
                <w:color w:val="000000"/>
                <w:kern w:val="0"/>
                <w:sz w:val="24"/>
                <w:szCs w:val="24"/>
              </w:rPr>
            </w:pPr>
            <w:r>
              <w:rPr>
                <w:rFonts w:hint="eastAsia" w:hAnsi="宋体" w:cs="宋体"/>
                <w:color w:val="000000"/>
                <w:kern w:val="0"/>
                <w:sz w:val="24"/>
                <w:szCs w:val="24"/>
              </w:rPr>
              <w:t>条件、能力和</w:t>
            </w:r>
          </w:p>
          <w:p>
            <w:pPr>
              <w:jc w:val="center"/>
              <w:rPr>
                <w:rFonts w:hAnsi="宋体" w:cs="宋体"/>
                <w:color w:val="000000"/>
                <w:kern w:val="0"/>
                <w:sz w:val="24"/>
                <w:szCs w:val="24"/>
              </w:rPr>
            </w:pPr>
            <w:r>
              <w:rPr>
                <w:rFonts w:hint="eastAsia" w:hAnsi="宋体" w:cs="宋体"/>
                <w:color w:val="000000"/>
                <w:kern w:val="0"/>
                <w:sz w:val="24"/>
                <w:szCs w:val="24"/>
              </w:rPr>
              <w:t>信誉</w:t>
            </w:r>
          </w:p>
        </w:tc>
        <w:tc>
          <w:tcPr>
            <w:tcW w:w="6145" w:type="dxa"/>
            <w:shd w:val="clear" w:color="auto" w:fill="FFFFFF"/>
            <w:vAlign w:val="center"/>
          </w:tcPr>
          <w:p>
            <w:pPr>
              <w:pStyle w:val="166"/>
              <w:shd w:val="clear" w:color="auto" w:fill="FFFFFF"/>
              <w:spacing w:line="240" w:lineRule="auto"/>
              <w:jc w:val="both"/>
              <w:rPr>
                <w:rFonts w:ascii="仿宋_GB2312" w:cs="宋体"/>
                <w:bCs/>
                <w:color w:val="000000"/>
              </w:rPr>
            </w:pPr>
            <w:bookmarkStart w:id="21" w:name="EB055a946796754fb6a8dfaeedc5bb21ce"/>
            <w:bookmarkEnd w:id="21"/>
            <w:r>
              <w:rPr>
                <w:rFonts w:hint="eastAsia" w:ascii="仿宋_GB2312" w:cs="宋体"/>
                <w:bCs/>
                <w:color w:val="000000"/>
              </w:rPr>
              <w:t>1</w:t>
            </w:r>
            <w:r>
              <w:rPr>
                <w:rFonts w:ascii="仿宋_GB2312" w:cs="宋体"/>
                <w:bCs/>
                <w:color w:val="000000"/>
              </w:rPr>
              <w:t>.</w:t>
            </w:r>
            <w:r>
              <w:rPr>
                <w:rFonts w:hint="eastAsia" w:ascii="仿宋_GB2312" w:cs="宋体"/>
                <w:bCs/>
                <w:color w:val="000000"/>
              </w:rPr>
              <w:t>投标人须具有有效的营业执照（提供营业执照彩色复印件加盖公章）</w:t>
            </w:r>
          </w:p>
          <w:p>
            <w:pPr>
              <w:pStyle w:val="166"/>
              <w:shd w:val="clear" w:color="auto" w:fill="FFFFFF"/>
              <w:spacing w:line="240" w:lineRule="auto"/>
              <w:jc w:val="both"/>
              <w:rPr>
                <w:rFonts w:ascii="仿宋_GB2312" w:cs="宋体"/>
                <w:bCs/>
                <w:color w:val="000000"/>
              </w:rPr>
            </w:pPr>
            <w:r>
              <w:rPr>
                <w:rFonts w:hint="eastAsia" w:ascii="仿宋_GB2312" w:cs="宋体"/>
                <w:bCs/>
                <w:color w:val="000000"/>
                <w:lang w:val="zh-CN"/>
              </w:rPr>
              <w:t>2</w:t>
            </w:r>
            <w:r>
              <w:rPr>
                <w:rFonts w:ascii="仿宋_GB2312" w:cs="宋体"/>
                <w:bCs/>
                <w:color w:val="000000"/>
                <w:lang w:val="zh-CN"/>
              </w:rPr>
              <w:t>.</w:t>
            </w:r>
            <w:r>
              <w:rPr>
                <w:rFonts w:hint="eastAsia" w:ascii="仿宋_GB2312" w:cs="宋体"/>
                <w:bCs/>
                <w:color w:val="000000"/>
                <w:lang w:val="zh-CN"/>
              </w:rPr>
              <w:t>投标人具备电子与智能化工程专业承包资质二级及以上资质</w:t>
            </w:r>
            <w:r>
              <w:rPr>
                <w:rFonts w:hint="eastAsia" w:ascii="仿宋_GB2312" w:cs="宋体"/>
                <w:bCs/>
                <w:color w:val="000000"/>
              </w:rPr>
              <w:t>（提供资质证书彩色复印件加盖公章）</w:t>
            </w:r>
          </w:p>
          <w:p>
            <w:pPr>
              <w:pStyle w:val="166"/>
              <w:shd w:val="clear" w:color="auto" w:fill="FFFFFF"/>
              <w:spacing w:line="240" w:lineRule="auto"/>
              <w:jc w:val="both"/>
              <w:rPr>
                <w:rFonts w:ascii="仿宋_GB2312" w:cs="宋体"/>
                <w:bCs/>
                <w:color w:val="000000"/>
                <w:lang w:val="zh-CN"/>
              </w:rPr>
            </w:pPr>
            <w:r>
              <w:rPr>
                <w:rFonts w:hint="eastAsia" w:ascii="仿宋_GB2312" w:cs="宋体"/>
                <w:bCs/>
                <w:color w:val="000000"/>
              </w:rPr>
              <w:t>3</w:t>
            </w:r>
            <w:r>
              <w:rPr>
                <w:rFonts w:ascii="仿宋_GB2312" w:cs="宋体"/>
                <w:bCs/>
                <w:color w:val="000000"/>
              </w:rPr>
              <w:t>.</w:t>
            </w:r>
            <w:r>
              <w:rPr>
                <w:rFonts w:hint="eastAsia" w:ascii="仿宋_GB2312" w:cs="宋体"/>
                <w:bCs/>
                <w:color w:val="000000"/>
              </w:rPr>
              <w:t>在“信用中国”网站，未被列入失信被执行人；在“国家企业信用信息公示系统”未被列入严重违法失信企业名单；在“湖北省公共资源招标投标信用信息平台”未被列入信用黑名单</w:t>
            </w:r>
            <w:r>
              <w:rPr>
                <w:rFonts w:hint="eastAsia" w:ascii="仿宋_GB2312" w:cs="宋体"/>
                <w:bCs/>
                <w:color w:val="000000"/>
                <w:lang w:val="zh-CN"/>
              </w:rPr>
              <w:t>的投标人；（开标结束后由招标人或其委托的招标代理机构按照招标文件要求对所有投标人的信用信息进行查询，做好记录，由评标委员会按招标文件的规定进行评审）</w:t>
            </w:r>
          </w:p>
          <w:p>
            <w:pPr>
              <w:pStyle w:val="166"/>
              <w:shd w:val="clear" w:color="auto" w:fill="FFFFFF"/>
              <w:spacing w:line="240" w:lineRule="auto"/>
              <w:jc w:val="both"/>
              <w:rPr>
                <w:rFonts w:ascii="仿宋_GB2312" w:cs="宋体"/>
                <w:color w:val="000000"/>
                <w:lang w:val="zh-CN"/>
              </w:rPr>
            </w:pPr>
            <w:r>
              <w:rPr>
                <w:rFonts w:hint="eastAsia" w:ascii="仿宋_GB2312" w:cs="宋体"/>
                <w:color w:val="000000"/>
                <w:lang w:val="zh-CN"/>
              </w:rPr>
              <w:t>4</w:t>
            </w:r>
            <w:r>
              <w:rPr>
                <w:rFonts w:ascii="仿宋_GB2312" w:cs="宋体"/>
                <w:color w:val="000000"/>
                <w:lang w:val="zh-CN"/>
              </w:rPr>
              <w:t>.</w:t>
            </w:r>
            <w:r>
              <w:rPr>
                <w:rFonts w:hint="eastAsia" w:ascii="仿宋_GB2312" w:cs="宋体"/>
                <w:color w:val="000000"/>
                <w:lang w:val="zh-CN"/>
              </w:rPr>
              <w:t>单位负责人为同一人或者存在控股、管理关系的不同单位，不得同时参加同一标段投标或者未划分标段的同一招标项目投标</w:t>
            </w:r>
          </w:p>
          <w:p>
            <w:pPr>
              <w:pStyle w:val="166"/>
              <w:shd w:val="clear" w:color="auto" w:fill="FFFFFF"/>
              <w:spacing w:line="240" w:lineRule="auto"/>
              <w:jc w:val="both"/>
              <w:rPr>
                <w:rFonts w:ascii="仿宋_GB2312" w:cs="宋体"/>
                <w:color w:val="000000"/>
                <w:lang w:val="zh-CN"/>
              </w:rPr>
            </w:pPr>
            <w:r>
              <w:rPr>
                <w:rFonts w:hint="eastAsia" w:ascii="仿宋_GB2312" w:cs="宋体"/>
                <w:color w:val="000000"/>
                <w:lang w:val="zh-CN"/>
              </w:rPr>
              <w:t>5</w:t>
            </w:r>
            <w:r>
              <w:rPr>
                <w:rFonts w:ascii="仿宋_GB2312" w:cs="宋体"/>
                <w:color w:val="000000"/>
                <w:lang w:val="zh-CN"/>
              </w:rPr>
              <w:t>.</w:t>
            </w:r>
            <w:r>
              <w:rPr>
                <w:rFonts w:hint="eastAsia" w:ascii="仿宋_GB2312" w:cs="宋体"/>
                <w:color w:val="000000"/>
                <w:lang w:val="zh-CN"/>
              </w:rPr>
              <w:t>与招标人存在利害关系可能影响招标公正性的法人、其他组织或者个人，不得参加投标</w:t>
            </w:r>
          </w:p>
          <w:p>
            <w:pPr>
              <w:pStyle w:val="166"/>
              <w:shd w:val="clear" w:color="auto" w:fill="FFFFFF"/>
              <w:spacing w:line="240" w:lineRule="auto"/>
              <w:jc w:val="both"/>
              <w:rPr>
                <w:rFonts w:ascii="仿宋_GB2312" w:cs="宋体"/>
                <w:color w:val="000000"/>
                <w:shd w:val="clear" w:color="auto" w:fill="FFFFFF"/>
                <w:lang w:val="zh-CN"/>
              </w:rPr>
            </w:pPr>
            <w:r>
              <w:rPr>
                <w:rFonts w:hint="eastAsia" w:ascii="仿宋_GB2312" w:cs="宋体"/>
                <w:color w:val="000000"/>
                <w:lang w:val="zh-CN"/>
              </w:rPr>
              <w:t>6</w:t>
            </w:r>
            <w:r>
              <w:rPr>
                <w:rFonts w:ascii="仿宋_GB2312" w:cs="宋体"/>
                <w:color w:val="000000"/>
                <w:lang w:val="zh-CN"/>
              </w:rPr>
              <w:t>.</w:t>
            </w:r>
            <w:r>
              <w:rPr>
                <w:rFonts w:hint="eastAsia" w:ascii="仿宋_GB2312" w:cs="宋体"/>
                <w:color w:val="000000"/>
              </w:rPr>
              <w:t>本项目不接受联合体投标，投标人须以独立投标人身份参与本项目投标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1.4.2</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是否接受</w:t>
            </w:r>
          </w:p>
          <w:p>
            <w:pPr>
              <w:jc w:val="center"/>
              <w:rPr>
                <w:rFonts w:hAnsi="宋体" w:cs="宋体"/>
                <w:color w:val="000000"/>
                <w:kern w:val="0"/>
                <w:sz w:val="24"/>
                <w:szCs w:val="24"/>
              </w:rPr>
            </w:pPr>
            <w:r>
              <w:rPr>
                <w:rFonts w:hint="eastAsia" w:hAnsi="宋体" w:cs="宋体"/>
                <w:color w:val="000000"/>
                <w:kern w:val="0"/>
                <w:sz w:val="24"/>
                <w:szCs w:val="24"/>
              </w:rPr>
              <w:t>联合体投标</w:t>
            </w:r>
          </w:p>
        </w:tc>
        <w:tc>
          <w:tcPr>
            <w:tcW w:w="6145" w:type="dxa"/>
            <w:shd w:val="clear" w:color="auto" w:fill="FFFFFF"/>
            <w:vAlign w:val="center"/>
          </w:tcPr>
          <w:p>
            <w:pPr>
              <w:rPr>
                <w:rFonts w:hAnsi="宋体" w:cs="宋体"/>
                <w:color w:val="000000"/>
                <w:kern w:val="0"/>
                <w:sz w:val="24"/>
                <w:szCs w:val="24"/>
              </w:rPr>
            </w:pPr>
            <w:bookmarkStart w:id="22" w:name="EBb65be9bd87c24982a41dae633c59a85a"/>
            <w:bookmarkEnd w:id="22"/>
            <w:r>
              <w:rPr>
                <w:rFonts w:hint="eastAsia" w:hAnsi="宋体" w:cs="宋体"/>
                <w:color w:val="000000"/>
                <w:kern w:val="0"/>
                <w:sz w:val="24"/>
                <w:szCs w:val="24"/>
              </w:rPr>
              <w:t>不接受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1.9.1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踏勘现场</w:t>
            </w:r>
          </w:p>
        </w:tc>
        <w:tc>
          <w:tcPr>
            <w:tcW w:w="6145" w:type="dxa"/>
            <w:shd w:val="clear" w:color="auto" w:fill="FFFFFF"/>
            <w:vAlign w:val="center"/>
          </w:tcPr>
          <w:p>
            <w:pPr>
              <w:rPr>
                <w:rFonts w:hAnsi="宋体" w:cs="宋体"/>
                <w:color w:val="000000"/>
                <w:kern w:val="0"/>
                <w:sz w:val="24"/>
                <w:szCs w:val="24"/>
              </w:rPr>
            </w:pPr>
            <w:bookmarkStart w:id="23" w:name="EB97173a9eab9e4bac85cee71798e0874a"/>
            <w:bookmarkEnd w:id="23"/>
            <w:r>
              <w:rPr>
                <w:rFonts w:hint="eastAsia" w:hAnsi="宋体" w:cs="宋体"/>
                <w:color w:val="000000"/>
                <w:kern w:val="0"/>
                <w:sz w:val="24"/>
                <w:szCs w:val="24"/>
              </w:rPr>
              <w:t>投标人自行踏勘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1.10.1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投标预备会</w:t>
            </w:r>
          </w:p>
        </w:tc>
        <w:tc>
          <w:tcPr>
            <w:tcW w:w="6145" w:type="dxa"/>
            <w:shd w:val="clear" w:color="auto" w:fill="FFFFFF"/>
            <w:vAlign w:val="center"/>
          </w:tcPr>
          <w:p>
            <w:pPr>
              <w:rPr>
                <w:rFonts w:hAnsi="宋体" w:cs="宋体"/>
                <w:color w:val="000000"/>
                <w:kern w:val="0"/>
                <w:sz w:val="24"/>
                <w:szCs w:val="24"/>
              </w:rPr>
            </w:pPr>
            <w:bookmarkStart w:id="24" w:name="EB4a47de0a066e4495b93faa9b3d976e4e"/>
            <w:bookmarkEnd w:id="24"/>
            <w:r>
              <w:rPr>
                <w:rFonts w:hint="eastAsia" w:hAnsi="宋体" w:cs="宋体"/>
                <w:color w:val="000000"/>
                <w:kern w:val="0"/>
                <w:sz w:val="24"/>
                <w:szCs w:val="24"/>
              </w:rPr>
              <w:t>不召开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1.11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分包</w:t>
            </w:r>
          </w:p>
        </w:tc>
        <w:tc>
          <w:tcPr>
            <w:tcW w:w="6145" w:type="dxa"/>
            <w:shd w:val="clear" w:color="auto" w:fill="FFFFFF"/>
            <w:vAlign w:val="center"/>
          </w:tcPr>
          <w:p>
            <w:pPr>
              <w:rPr>
                <w:rFonts w:hAnsi="宋体" w:cs="宋体"/>
                <w:color w:val="000000"/>
                <w:kern w:val="0"/>
                <w:sz w:val="24"/>
                <w:szCs w:val="24"/>
              </w:rPr>
            </w:pPr>
            <w:bookmarkStart w:id="25" w:name="EBb07a8836544444aea5289a11ea929c88"/>
            <w:bookmarkEnd w:id="25"/>
            <w:r>
              <w:rPr>
                <w:rFonts w:hint="eastAsia" w:hAnsi="宋体" w:cs="宋体"/>
                <w:color w:val="000000"/>
                <w:kern w:val="0"/>
                <w:sz w:val="24"/>
                <w:szCs w:val="24"/>
              </w:rPr>
              <w:t>不允许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1.12</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偏离</w:t>
            </w:r>
          </w:p>
        </w:tc>
        <w:tc>
          <w:tcPr>
            <w:tcW w:w="6145" w:type="dxa"/>
            <w:shd w:val="clear" w:color="auto" w:fill="FFFFFF"/>
            <w:vAlign w:val="center"/>
          </w:tcPr>
          <w:p>
            <w:pPr>
              <w:rPr>
                <w:rFonts w:hAnsi="宋体" w:cs="宋体"/>
                <w:color w:val="000000"/>
                <w:kern w:val="0"/>
                <w:sz w:val="24"/>
                <w:szCs w:val="24"/>
              </w:rPr>
            </w:pPr>
            <w:bookmarkStart w:id="26" w:name="EB185151ea980649059a2ecd710bde84ad"/>
            <w:bookmarkEnd w:id="26"/>
            <w:r>
              <w:rPr>
                <w:rFonts w:hint="eastAsia" w:hAnsi="宋体" w:cs="宋体"/>
                <w:color w:val="000000"/>
                <w:kern w:val="0"/>
                <w:sz w:val="24"/>
                <w:szCs w:val="24"/>
              </w:rPr>
              <w:t>不允许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2.1</w:t>
            </w:r>
            <w:r>
              <w:rPr>
                <w:rFonts w:hint="eastAsia" w:hAnsi="宋体" w:cs="宋体"/>
                <w:color w:val="000000"/>
                <w:kern w:val="0"/>
                <w:sz w:val="24"/>
                <w:szCs w:val="24"/>
              </w:rPr>
              <w:t>（</w:t>
            </w:r>
            <w:r>
              <w:rPr>
                <w:rFonts w:hAnsi="宋体" w:cs="宋体"/>
                <w:color w:val="000000"/>
                <w:kern w:val="0"/>
                <w:sz w:val="24"/>
                <w:szCs w:val="24"/>
              </w:rPr>
              <w:t>8</w:t>
            </w:r>
            <w:r>
              <w:rPr>
                <w:rFonts w:hint="eastAsia" w:hAnsi="宋体" w:cs="宋体"/>
                <w:color w:val="000000"/>
                <w:kern w:val="0"/>
                <w:sz w:val="24"/>
                <w:szCs w:val="24"/>
              </w:rPr>
              <w:t>）</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构成招标文件的其他材料</w:t>
            </w:r>
          </w:p>
        </w:tc>
        <w:tc>
          <w:tcPr>
            <w:tcW w:w="6145" w:type="dxa"/>
            <w:shd w:val="clear" w:color="auto" w:fill="FFFFFF"/>
            <w:vAlign w:val="center"/>
          </w:tcPr>
          <w:p>
            <w:pPr>
              <w:rPr>
                <w:rFonts w:hAnsi="宋体" w:cs="宋体"/>
                <w:color w:val="000000"/>
                <w:kern w:val="0"/>
                <w:sz w:val="24"/>
                <w:szCs w:val="24"/>
              </w:rPr>
            </w:pPr>
            <w:bookmarkStart w:id="27" w:name="EB92721599887e4f1ca7d14f4c63769905"/>
            <w:bookmarkEnd w:id="27"/>
            <w:r>
              <w:rPr>
                <w:rFonts w:hint="eastAsia" w:hAnsi="宋体" w:cs="宋体"/>
                <w:color w:val="000000"/>
                <w:kern w:val="0"/>
                <w:sz w:val="24"/>
                <w:szCs w:val="24"/>
              </w:rPr>
              <w:t>答疑澄清和修改文件。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2.2</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招标文件的</w:t>
            </w:r>
          </w:p>
          <w:p>
            <w:pPr>
              <w:jc w:val="center"/>
              <w:rPr>
                <w:rFonts w:hAnsi="宋体" w:cs="宋体"/>
                <w:color w:val="000000"/>
                <w:kern w:val="0"/>
                <w:sz w:val="24"/>
                <w:szCs w:val="24"/>
              </w:rPr>
            </w:pPr>
            <w:r>
              <w:rPr>
                <w:rFonts w:hint="eastAsia" w:hAnsi="宋体" w:cs="宋体"/>
                <w:color w:val="000000"/>
                <w:kern w:val="0"/>
                <w:sz w:val="24"/>
                <w:szCs w:val="24"/>
              </w:rPr>
              <w:t>澄清或修改</w:t>
            </w:r>
          </w:p>
        </w:tc>
        <w:tc>
          <w:tcPr>
            <w:tcW w:w="6145" w:type="dxa"/>
            <w:shd w:val="clear" w:color="auto" w:fill="FFFFFF"/>
            <w:vAlign w:val="center"/>
          </w:tcPr>
          <w:p>
            <w:pPr>
              <w:rPr>
                <w:rFonts w:hAnsi="宋体" w:cs="宋体"/>
                <w:color w:val="000000"/>
                <w:kern w:val="0"/>
                <w:sz w:val="24"/>
                <w:szCs w:val="24"/>
              </w:rPr>
            </w:pPr>
            <w:r>
              <w:rPr>
                <w:rFonts w:hint="eastAsia" w:hAnsi="宋体" w:cs="宋体"/>
                <w:color w:val="000000"/>
                <w:kern w:val="0"/>
                <w:sz w:val="24"/>
                <w:szCs w:val="24"/>
              </w:rPr>
              <w:t>投标人提问方式及截止时间：</w:t>
            </w:r>
            <w:bookmarkStart w:id="28" w:name="EB0e5557fa073c45e6af45f4a37e804545"/>
            <w:bookmarkEnd w:id="28"/>
          </w:p>
          <w:p>
            <w:pPr>
              <w:rPr>
                <w:rFonts w:hAnsi="宋体" w:cs="宋体"/>
                <w:color w:val="000000"/>
                <w:kern w:val="0"/>
                <w:sz w:val="24"/>
                <w:szCs w:val="24"/>
              </w:rPr>
            </w:pPr>
            <w:r>
              <w:rPr>
                <w:rFonts w:hint="eastAsia" w:hAnsi="宋体" w:cs="宋体"/>
                <w:color w:val="000000"/>
                <w:kern w:val="0"/>
                <w:sz w:val="24"/>
                <w:szCs w:val="24"/>
              </w:rPr>
              <w:t>投标人应在</w:t>
            </w:r>
            <w:r>
              <w:rPr>
                <w:rFonts w:hAnsi="宋体" w:cs="宋体"/>
                <w:color w:val="000000"/>
                <w:kern w:val="0"/>
                <w:sz w:val="24"/>
                <w:szCs w:val="24"/>
                <w:highlight w:val="yellow"/>
              </w:rPr>
              <w:t>2020</w:t>
            </w:r>
            <w:r>
              <w:rPr>
                <w:rFonts w:hint="eastAsia" w:hAnsi="宋体" w:cs="宋体"/>
                <w:color w:val="000000"/>
                <w:kern w:val="0"/>
                <w:sz w:val="24"/>
                <w:szCs w:val="24"/>
                <w:highlight w:val="yellow"/>
              </w:rPr>
              <w:t>年</w:t>
            </w:r>
            <w:r>
              <w:rPr>
                <w:rFonts w:hAnsi="宋体" w:cs="宋体"/>
                <w:color w:val="000000"/>
                <w:kern w:val="0"/>
                <w:sz w:val="24"/>
                <w:szCs w:val="24"/>
                <w:highlight w:val="yellow"/>
              </w:rPr>
              <w:t>12</w:t>
            </w:r>
            <w:r>
              <w:rPr>
                <w:rFonts w:hint="eastAsia" w:hAnsi="宋体" w:cs="宋体"/>
                <w:color w:val="000000"/>
                <w:kern w:val="0"/>
                <w:sz w:val="24"/>
                <w:szCs w:val="24"/>
                <w:highlight w:val="yellow"/>
              </w:rPr>
              <w:t>月</w:t>
            </w:r>
            <w:r>
              <w:rPr>
                <w:rFonts w:hint="eastAsia" w:hAnsi="宋体" w:cs="宋体"/>
                <w:color w:val="000000"/>
                <w:kern w:val="0"/>
                <w:sz w:val="24"/>
                <w:szCs w:val="24"/>
                <w:highlight w:val="yellow"/>
                <w:lang w:val="en-US" w:eastAsia="zh-CN"/>
              </w:rPr>
              <w:t>28</w:t>
            </w:r>
            <w:r>
              <w:fldChar w:fldCharType="begin"/>
            </w:r>
            <w:r>
              <w:instrText xml:space="preserve"> HYPERLINK "mailto:日12时00分前向电子邮箱it@ycjyjt.com" </w:instrText>
            </w:r>
            <w:r>
              <w:fldChar w:fldCharType="separate"/>
            </w:r>
            <w:r>
              <w:rPr>
                <w:rStyle w:val="50"/>
                <w:rFonts w:hint="eastAsia"/>
                <w:kern w:val="0"/>
                <w:sz w:val="24"/>
                <w:szCs w:val="24"/>
                <w:highlight w:val="yellow"/>
              </w:rPr>
              <w:t>日</w:t>
            </w:r>
            <w:r>
              <w:rPr>
                <w:rStyle w:val="50"/>
                <w:rFonts w:hint="eastAsia"/>
                <w:kern w:val="0"/>
                <w:sz w:val="24"/>
                <w:szCs w:val="24"/>
                <w:highlight w:val="yellow"/>
                <w:lang w:val="en-US" w:eastAsia="zh-CN"/>
              </w:rPr>
              <w:t>17</w:t>
            </w:r>
            <w:r>
              <w:rPr>
                <w:rStyle w:val="50"/>
                <w:rFonts w:hint="eastAsia"/>
                <w:kern w:val="0"/>
                <w:sz w:val="24"/>
                <w:szCs w:val="24"/>
                <w:highlight w:val="yellow"/>
              </w:rPr>
              <w:t>时00分前向电子邮箱it@ycjyjt.com</w:t>
            </w:r>
            <w:r>
              <w:rPr>
                <w:rStyle w:val="50"/>
                <w:rFonts w:hint="eastAsia"/>
                <w:kern w:val="0"/>
                <w:sz w:val="24"/>
                <w:szCs w:val="24"/>
                <w:highlight w:val="yellow"/>
              </w:rPr>
              <w:fldChar w:fldCharType="end"/>
            </w:r>
            <w:r>
              <w:rPr>
                <w:rFonts w:hint="eastAsia" w:hAnsi="宋体" w:cs="宋体"/>
                <w:color w:val="000000"/>
                <w:kern w:val="0"/>
                <w:sz w:val="24"/>
                <w:szCs w:val="24"/>
              </w:rPr>
              <w:t>进行提问。</w:t>
            </w:r>
          </w:p>
          <w:p>
            <w:pPr>
              <w:rPr>
                <w:rFonts w:hAnsi="宋体" w:cs="宋体"/>
                <w:color w:val="000000"/>
                <w:kern w:val="0"/>
                <w:sz w:val="24"/>
                <w:szCs w:val="24"/>
              </w:rPr>
            </w:pPr>
            <w:r>
              <w:rPr>
                <w:rFonts w:hint="eastAsia" w:hAnsi="宋体" w:cs="宋体"/>
                <w:color w:val="000000"/>
                <w:kern w:val="0"/>
                <w:sz w:val="24"/>
                <w:szCs w:val="24"/>
              </w:rPr>
              <w:t>招标人计划发布澄清修改时间：</w:t>
            </w:r>
            <w:bookmarkStart w:id="29" w:name="EB697352f1d359447b9c3d831be67557ee"/>
            <w:bookmarkEnd w:id="29"/>
            <w:r>
              <w:rPr>
                <w:rFonts w:hAnsi="宋体" w:cs="宋体"/>
                <w:color w:val="000000"/>
                <w:kern w:val="0"/>
                <w:sz w:val="24"/>
                <w:szCs w:val="24"/>
                <w:highlight w:val="yellow"/>
              </w:rPr>
              <w:t>2020</w:t>
            </w:r>
            <w:r>
              <w:rPr>
                <w:rFonts w:hint="eastAsia" w:hAnsi="宋体" w:cs="宋体"/>
                <w:color w:val="000000"/>
                <w:kern w:val="0"/>
                <w:sz w:val="24"/>
                <w:szCs w:val="24"/>
                <w:highlight w:val="yellow"/>
              </w:rPr>
              <w:t>年</w:t>
            </w:r>
            <w:r>
              <w:rPr>
                <w:rFonts w:hAnsi="宋体" w:cs="宋体"/>
                <w:color w:val="000000"/>
                <w:kern w:val="0"/>
                <w:sz w:val="24"/>
                <w:szCs w:val="24"/>
                <w:highlight w:val="yellow"/>
              </w:rPr>
              <w:t>12</w:t>
            </w:r>
            <w:r>
              <w:rPr>
                <w:rFonts w:hint="eastAsia" w:hAnsi="宋体" w:cs="宋体"/>
                <w:color w:val="000000"/>
                <w:kern w:val="0"/>
                <w:sz w:val="24"/>
                <w:szCs w:val="24"/>
                <w:highlight w:val="yellow"/>
              </w:rPr>
              <w:t>月</w:t>
            </w:r>
            <w:r>
              <w:rPr>
                <w:rFonts w:hint="eastAsia" w:hAnsi="宋体" w:cs="宋体"/>
                <w:color w:val="000000"/>
                <w:kern w:val="0"/>
                <w:sz w:val="24"/>
                <w:szCs w:val="24"/>
                <w:highlight w:val="yellow"/>
                <w:lang w:val="en-US" w:eastAsia="zh-CN"/>
              </w:rPr>
              <w:t>29</w:t>
            </w:r>
            <w:r>
              <w:rPr>
                <w:rFonts w:hint="eastAsia" w:hAnsi="宋体" w:cs="宋体"/>
                <w:color w:val="000000"/>
                <w:kern w:val="0"/>
                <w:sz w:val="24"/>
                <w:szCs w:val="24"/>
                <w:highlight w:val="yellow"/>
              </w:rPr>
              <w:t>日</w:t>
            </w:r>
            <w:r>
              <w:rPr>
                <w:rFonts w:hAnsi="宋体" w:cs="宋体"/>
                <w:color w:val="000000"/>
                <w:kern w:val="0"/>
                <w:sz w:val="24"/>
                <w:szCs w:val="24"/>
                <w:highlight w:val="yellow"/>
              </w:rPr>
              <w:t>17</w:t>
            </w:r>
            <w:r>
              <w:rPr>
                <w:rFonts w:hint="eastAsia" w:hAnsi="宋体" w:cs="宋体"/>
                <w:color w:val="000000"/>
                <w:kern w:val="0"/>
                <w:sz w:val="24"/>
                <w:szCs w:val="24"/>
              </w:rPr>
              <w:t>时。</w:t>
            </w:r>
          </w:p>
          <w:p>
            <w:pPr>
              <w:rPr>
                <w:rFonts w:hAnsi="宋体" w:cs="宋体"/>
                <w:color w:val="000000"/>
                <w:kern w:val="0"/>
                <w:sz w:val="24"/>
                <w:szCs w:val="24"/>
              </w:rPr>
            </w:pPr>
            <w:r>
              <w:rPr>
                <w:rFonts w:hint="eastAsia" w:hAnsi="宋体" w:cs="宋体"/>
                <w:color w:val="000000"/>
                <w:kern w:val="0"/>
                <w:sz w:val="24"/>
                <w:szCs w:val="24"/>
              </w:rPr>
              <w:t>发布澄清修改方式：中国采购与招标网、宜昌交通旅游产业发展集团有限公司官网、湖北宜昌交运集团股份有限公司官网。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3.1.1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构成投标文件</w:t>
            </w:r>
          </w:p>
          <w:p>
            <w:pPr>
              <w:jc w:val="center"/>
              <w:rPr>
                <w:rFonts w:hAnsi="宋体" w:cs="宋体"/>
                <w:color w:val="000000"/>
                <w:kern w:val="0"/>
                <w:sz w:val="24"/>
                <w:szCs w:val="24"/>
              </w:rPr>
            </w:pPr>
            <w:r>
              <w:rPr>
                <w:rFonts w:hint="eastAsia" w:hAnsi="宋体" w:cs="宋体"/>
                <w:color w:val="000000"/>
                <w:kern w:val="0"/>
                <w:sz w:val="24"/>
                <w:szCs w:val="24"/>
              </w:rPr>
              <w:t>的其他材料</w:t>
            </w:r>
          </w:p>
        </w:tc>
        <w:tc>
          <w:tcPr>
            <w:tcW w:w="6145" w:type="dxa"/>
            <w:shd w:val="clear" w:color="auto" w:fill="FFFFFF"/>
            <w:vAlign w:val="center"/>
          </w:tcPr>
          <w:p>
            <w:pPr>
              <w:rPr>
                <w:rFonts w:hAnsi="宋体" w:cs="宋体"/>
                <w:color w:val="000000"/>
                <w:kern w:val="0"/>
                <w:sz w:val="24"/>
                <w:szCs w:val="24"/>
              </w:rPr>
            </w:pPr>
            <w:bookmarkStart w:id="30" w:name="EBa4270fe03d9944d79b443687e1adde2e"/>
            <w:bookmarkEnd w:id="30"/>
            <w:r>
              <w:rPr>
                <w:rFonts w:hAnsi="宋体" w:cs="宋体"/>
                <w:color w:val="000000"/>
                <w:kern w:val="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3.2.3</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最高限价</w:t>
            </w:r>
          </w:p>
        </w:tc>
        <w:tc>
          <w:tcPr>
            <w:tcW w:w="6145" w:type="dxa"/>
            <w:shd w:val="clear" w:color="auto" w:fill="FFFFFF"/>
            <w:vAlign w:val="center"/>
          </w:tcPr>
          <w:p>
            <w:pPr>
              <w:pStyle w:val="166"/>
              <w:shd w:val="clear" w:color="auto" w:fill="FFFFFF"/>
              <w:spacing w:line="240" w:lineRule="auto"/>
              <w:rPr>
                <w:rFonts w:ascii="仿宋_GB2312" w:cs="宋体"/>
                <w:b/>
                <w:color w:val="000000"/>
              </w:rPr>
            </w:pPr>
            <w:bookmarkStart w:id="31" w:name="EB4fac8f34ca4441dc8fd798753dce1223"/>
            <w:bookmarkEnd w:id="31"/>
            <w:bookmarkStart w:id="32" w:name="EBf13cc560a5c04f288b402845d205dad0"/>
            <w:bookmarkEnd w:id="32"/>
            <w:r>
              <w:rPr>
                <w:rFonts w:hint="eastAsia" w:ascii="仿宋_GB2312" w:cs="宋体"/>
                <w:color w:val="000000"/>
                <w:lang w:val="zh-CN"/>
              </w:rPr>
              <w:t>人民币</w:t>
            </w:r>
            <w:r>
              <w:rPr>
                <w:rFonts w:ascii="仿宋_GB2312" w:cs="宋体"/>
                <w:color w:val="000000"/>
              </w:rPr>
              <w:t xml:space="preserve"> 120.2668 </w:t>
            </w:r>
            <w:r>
              <w:rPr>
                <w:rFonts w:hint="eastAsia" w:ascii="仿宋_GB2312" w:cs="宋体"/>
                <w:color w:val="000000"/>
                <w:lang w:val="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3.3.1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投标有效期</w:t>
            </w:r>
          </w:p>
        </w:tc>
        <w:tc>
          <w:tcPr>
            <w:tcW w:w="6145" w:type="dxa"/>
            <w:shd w:val="clear" w:color="auto" w:fill="FFFFFF"/>
            <w:vAlign w:val="center"/>
          </w:tcPr>
          <w:p>
            <w:pPr>
              <w:rPr>
                <w:rFonts w:hAnsi="宋体" w:cs="宋体"/>
                <w:color w:val="000000"/>
                <w:kern w:val="0"/>
                <w:sz w:val="24"/>
                <w:szCs w:val="24"/>
              </w:rPr>
            </w:pPr>
            <w:r>
              <w:rPr>
                <w:rFonts w:hint="eastAsia" w:hAnsi="宋体" w:cs="宋体"/>
                <w:color w:val="000000"/>
                <w:kern w:val="0"/>
                <w:sz w:val="24"/>
                <w:szCs w:val="24"/>
              </w:rPr>
              <w:t>自投标截止时间起</w:t>
            </w:r>
            <w:r>
              <w:rPr>
                <w:rFonts w:hint="eastAsia" w:hAnsi="宋体" w:cs="宋体"/>
                <w:color w:val="000000" w:themeColor="text1"/>
                <w:kern w:val="0"/>
                <w:sz w:val="24"/>
                <w:szCs w:val="24"/>
                <w14:textFill>
                  <w14:solidFill>
                    <w14:schemeClr w14:val="tx1"/>
                  </w14:solidFill>
                </w14:textFill>
              </w:rPr>
              <w:t>90天</w:t>
            </w:r>
            <w:r>
              <w:rPr>
                <w:rFonts w:hint="eastAsia" w:hAnsi="宋体" w:cs="宋体"/>
                <w:color w:val="000000"/>
                <w:kern w:val="0"/>
                <w:sz w:val="24"/>
                <w:szCs w:val="24"/>
              </w:rPr>
              <w:t>内有效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3.6</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是否允许递交</w:t>
            </w:r>
          </w:p>
          <w:p>
            <w:pPr>
              <w:jc w:val="center"/>
              <w:rPr>
                <w:rFonts w:hAnsi="宋体" w:cs="宋体"/>
                <w:color w:val="000000"/>
                <w:kern w:val="0"/>
                <w:sz w:val="24"/>
                <w:szCs w:val="24"/>
              </w:rPr>
            </w:pPr>
            <w:r>
              <w:rPr>
                <w:rFonts w:hint="eastAsia" w:hAnsi="宋体" w:cs="宋体"/>
                <w:color w:val="000000"/>
                <w:kern w:val="0"/>
                <w:sz w:val="24"/>
                <w:szCs w:val="24"/>
              </w:rPr>
              <w:t>备选投标方案</w:t>
            </w:r>
          </w:p>
        </w:tc>
        <w:tc>
          <w:tcPr>
            <w:tcW w:w="6145" w:type="dxa"/>
            <w:shd w:val="clear" w:color="auto" w:fill="FFFFFF"/>
            <w:vAlign w:val="center"/>
          </w:tcPr>
          <w:p>
            <w:pPr>
              <w:rPr>
                <w:rFonts w:hAnsi="宋体" w:cs="宋体"/>
                <w:color w:val="000000"/>
                <w:kern w:val="0"/>
                <w:sz w:val="24"/>
                <w:szCs w:val="24"/>
              </w:rPr>
            </w:pPr>
            <w:r>
              <w:rPr>
                <w:rFonts w:hint="eastAsia" w:hAnsi="宋体" w:cs="宋体"/>
                <w:color w:val="000000"/>
                <w:kern w:val="0"/>
                <w:sz w:val="24"/>
                <w:szCs w:val="24"/>
              </w:rPr>
              <w:t>不允许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3.7.7</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投标文件份数</w:t>
            </w:r>
          </w:p>
        </w:tc>
        <w:tc>
          <w:tcPr>
            <w:tcW w:w="6145" w:type="dxa"/>
            <w:shd w:val="clear" w:color="auto" w:fill="FFFFFF"/>
            <w:vAlign w:val="center"/>
          </w:tcPr>
          <w:p>
            <w:pPr>
              <w:rPr>
                <w:rFonts w:hAnsi="宋体" w:cs="宋体"/>
                <w:color w:val="000000"/>
                <w:kern w:val="0"/>
                <w:sz w:val="24"/>
                <w:szCs w:val="24"/>
              </w:rPr>
            </w:pPr>
            <w:bookmarkStart w:id="33" w:name="EB4c0ff0db43b847bb9ead747b21c4458b"/>
            <w:bookmarkEnd w:id="33"/>
            <w:r>
              <w:rPr>
                <w:rFonts w:hint="eastAsia" w:hAnsi="宋体" w:cs="宋体"/>
                <w:color w:val="000000"/>
                <w:kern w:val="0"/>
                <w:sz w:val="24"/>
                <w:szCs w:val="24"/>
              </w:rPr>
              <w:t>投标文件纸质版：</w:t>
            </w:r>
            <w:r>
              <w:rPr>
                <w:rFonts w:hint="eastAsia" w:hAnsi="宋体" w:cs="宋体"/>
                <w:b/>
                <w:color w:val="000000"/>
                <w:kern w:val="0"/>
                <w:sz w:val="24"/>
                <w:szCs w:val="24"/>
              </w:rPr>
              <w:t>正本一份，副本一份</w:t>
            </w:r>
          </w:p>
          <w:p>
            <w:pPr>
              <w:pStyle w:val="15"/>
              <w:ind w:left="480" w:hanging="480" w:hangingChars="200"/>
              <w:rPr>
                <w:rFonts w:hAnsi="宋体" w:cs="宋体"/>
                <w:b/>
                <w:color w:val="000000"/>
                <w:kern w:val="0"/>
                <w:sz w:val="24"/>
                <w:szCs w:val="24"/>
              </w:rPr>
            </w:pPr>
            <w:r>
              <w:rPr>
                <w:rFonts w:hint="eastAsia" w:hAnsi="宋体" w:cs="宋体"/>
                <w:color w:val="000000"/>
                <w:kern w:val="0"/>
                <w:sz w:val="24"/>
                <w:szCs w:val="24"/>
              </w:rPr>
              <w:t>投标文件电子版：</w:t>
            </w:r>
            <w:r>
              <w:rPr>
                <w:rFonts w:hint="eastAsia" w:hAnsi="宋体" w:cs="宋体"/>
                <w:b/>
                <w:color w:val="000000"/>
                <w:kern w:val="0"/>
                <w:sz w:val="24"/>
                <w:szCs w:val="24"/>
              </w:rPr>
              <w:t>电子光盘或</w:t>
            </w:r>
            <w:r>
              <w:rPr>
                <w:rFonts w:hAnsi="宋体" w:cs="宋体"/>
                <w:b/>
                <w:color w:val="000000"/>
                <w:kern w:val="0"/>
                <w:sz w:val="24"/>
                <w:szCs w:val="24"/>
              </w:rPr>
              <w:t>U</w:t>
            </w:r>
            <w:r>
              <w:rPr>
                <w:rFonts w:hint="eastAsia" w:hAnsi="宋体" w:cs="宋体"/>
                <w:b/>
                <w:color w:val="000000"/>
                <w:kern w:val="0"/>
                <w:sz w:val="24"/>
                <w:szCs w:val="24"/>
              </w:rPr>
              <w:t>盘二份，电子文件应与</w:t>
            </w:r>
          </w:p>
          <w:p>
            <w:pPr>
              <w:pStyle w:val="15"/>
              <w:ind w:firstLine="0" w:firstLineChars="0"/>
              <w:rPr>
                <w:rFonts w:hAnsi="宋体" w:cs="宋体"/>
                <w:b/>
                <w:color w:val="000000"/>
                <w:kern w:val="0"/>
                <w:sz w:val="24"/>
                <w:szCs w:val="24"/>
              </w:rPr>
            </w:pPr>
            <w:r>
              <w:rPr>
                <w:rFonts w:hint="eastAsia" w:hAnsi="宋体" w:cs="宋体"/>
                <w:b/>
                <w:color w:val="000000"/>
                <w:kern w:val="0"/>
                <w:sz w:val="24"/>
                <w:szCs w:val="24"/>
              </w:rPr>
              <w:t>纸质文件内容一致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4.2.1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投标截止时间</w:t>
            </w:r>
          </w:p>
        </w:tc>
        <w:tc>
          <w:tcPr>
            <w:tcW w:w="6145" w:type="dxa"/>
            <w:shd w:val="clear" w:color="auto" w:fill="FFFFFF"/>
            <w:vAlign w:val="center"/>
          </w:tcPr>
          <w:p>
            <w:pPr>
              <w:rPr>
                <w:rFonts w:hAnsi="宋体" w:cs="宋体"/>
                <w:b/>
                <w:color w:val="000000"/>
                <w:kern w:val="0"/>
                <w:sz w:val="24"/>
                <w:szCs w:val="24"/>
              </w:rPr>
            </w:pPr>
            <w:bookmarkStart w:id="34" w:name="EB4a73218d5ef1494e935148b1c9fa5b99"/>
            <w:bookmarkEnd w:id="34"/>
            <w:r>
              <w:rPr>
                <w:rFonts w:hAnsi="宋体" w:cs="宋体"/>
                <w:b/>
                <w:color w:val="000000"/>
                <w:kern w:val="0"/>
                <w:sz w:val="24"/>
                <w:szCs w:val="24"/>
                <w:highlight w:val="yellow"/>
              </w:rPr>
              <w:t>202</w:t>
            </w:r>
            <w:r>
              <w:rPr>
                <w:rFonts w:hint="eastAsia" w:hAnsi="宋体" w:cs="宋体"/>
                <w:b/>
                <w:color w:val="000000"/>
                <w:kern w:val="0"/>
                <w:sz w:val="24"/>
                <w:szCs w:val="24"/>
                <w:highlight w:val="yellow"/>
                <w:lang w:val="en-US" w:eastAsia="zh-CN"/>
              </w:rPr>
              <w:t>1</w:t>
            </w:r>
            <w:r>
              <w:rPr>
                <w:rFonts w:hint="eastAsia" w:hAnsi="宋体" w:cs="宋体"/>
                <w:b/>
                <w:color w:val="000000"/>
                <w:kern w:val="0"/>
                <w:sz w:val="24"/>
                <w:szCs w:val="24"/>
                <w:highlight w:val="yellow"/>
              </w:rPr>
              <w:t>年</w:t>
            </w:r>
            <w:r>
              <w:rPr>
                <w:rFonts w:hint="eastAsia" w:hAnsi="宋体" w:cs="宋体"/>
                <w:b/>
                <w:color w:val="000000"/>
                <w:kern w:val="0"/>
                <w:sz w:val="24"/>
                <w:szCs w:val="24"/>
                <w:highlight w:val="yellow"/>
                <w:lang w:val="en-US" w:eastAsia="zh-CN"/>
              </w:rPr>
              <w:t>1</w:t>
            </w:r>
            <w:r>
              <w:rPr>
                <w:rFonts w:hint="eastAsia" w:hAnsi="宋体" w:cs="宋体"/>
                <w:b/>
                <w:color w:val="000000"/>
                <w:kern w:val="0"/>
                <w:sz w:val="24"/>
                <w:szCs w:val="24"/>
                <w:highlight w:val="yellow"/>
              </w:rPr>
              <w:t>月</w:t>
            </w:r>
            <w:r>
              <w:rPr>
                <w:rFonts w:hint="eastAsia" w:hAnsi="宋体" w:cs="宋体"/>
                <w:b/>
                <w:color w:val="000000"/>
                <w:kern w:val="0"/>
                <w:sz w:val="24"/>
                <w:szCs w:val="24"/>
                <w:highlight w:val="yellow"/>
                <w:lang w:val="en-US" w:eastAsia="zh-CN"/>
              </w:rPr>
              <w:t>14</w:t>
            </w:r>
            <w:r>
              <w:rPr>
                <w:rFonts w:hint="eastAsia" w:hAnsi="宋体" w:cs="宋体"/>
                <w:b/>
                <w:color w:val="000000"/>
                <w:kern w:val="0"/>
                <w:sz w:val="24"/>
                <w:szCs w:val="24"/>
                <w:highlight w:val="yellow"/>
              </w:rPr>
              <w:t>日</w:t>
            </w:r>
            <w:r>
              <w:rPr>
                <w:rFonts w:hint="eastAsia" w:hAnsi="宋体" w:cs="宋体"/>
                <w:b/>
                <w:color w:val="000000"/>
                <w:kern w:val="0"/>
                <w:sz w:val="24"/>
                <w:szCs w:val="24"/>
                <w:highlight w:val="yellow"/>
                <w:lang w:val="en-US" w:eastAsia="zh-CN"/>
              </w:rPr>
              <w:t>9</w:t>
            </w:r>
            <w:r>
              <w:rPr>
                <w:rFonts w:hint="eastAsia" w:hAnsi="宋体" w:cs="宋体"/>
                <w:b/>
                <w:color w:val="000000"/>
                <w:kern w:val="0"/>
                <w:sz w:val="24"/>
                <w:szCs w:val="24"/>
                <w:highlight w:val="yellow"/>
              </w:rPr>
              <w:t>时</w:t>
            </w:r>
            <w:r>
              <w:rPr>
                <w:rFonts w:hAnsi="宋体" w:cs="宋体"/>
                <w:b/>
                <w:color w:val="000000"/>
                <w:kern w:val="0"/>
                <w:sz w:val="24"/>
                <w:szCs w:val="24"/>
                <w:highlight w:val="yellow"/>
              </w:rPr>
              <w:t>00</w:t>
            </w:r>
            <w:r>
              <w:rPr>
                <w:rFonts w:hint="eastAsia" w:hAnsi="宋体" w:cs="宋体"/>
                <w:b/>
                <w:color w:val="000000"/>
                <w:kern w:val="0"/>
                <w:sz w:val="24"/>
                <w:szCs w:val="24"/>
                <w:highlight w:val="yellow"/>
              </w:rPr>
              <w:t>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5"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4.2.2</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递交投标文件</w:t>
            </w:r>
          </w:p>
          <w:p>
            <w:pPr>
              <w:jc w:val="center"/>
              <w:rPr>
                <w:rFonts w:hAnsi="宋体" w:cs="宋体"/>
                <w:color w:val="000000"/>
                <w:kern w:val="0"/>
                <w:sz w:val="24"/>
                <w:szCs w:val="24"/>
              </w:rPr>
            </w:pPr>
            <w:r>
              <w:rPr>
                <w:rFonts w:hint="eastAsia" w:hAnsi="宋体" w:cs="宋体"/>
                <w:color w:val="000000"/>
                <w:kern w:val="0"/>
                <w:sz w:val="24"/>
                <w:szCs w:val="24"/>
              </w:rPr>
              <w:t>方式及地点</w:t>
            </w:r>
          </w:p>
        </w:tc>
        <w:tc>
          <w:tcPr>
            <w:tcW w:w="6145" w:type="dxa"/>
            <w:shd w:val="clear" w:color="auto" w:fill="FFFFFF"/>
            <w:vAlign w:val="center"/>
          </w:tcPr>
          <w:p>
            <w:pPr>
              <w:rPr>
                <w:rFonts w:hAnsi="宋体" w:cs="宋体"/>
                <w:color w:val="000000"/>
                <w:kern w:val="0"/>
                <w:sz w:val="24"/>
                <w:szCs w:val="24"/>
              </w:rPr>
            </w:pPr>
            <w:r>
              <w:rPr>
                <w:rFonts w:hint="eastAsia" w:hAnsi="宋体" w:cs="宋体"/>
                <w:b/>
                <w:color w:val="000000"/>
                <w:kern w:val="0"/>
                <w:sz w:val="24"/>
                <w:szCs w:val="24"/>
              </w:rPr>
              <w:t>现场递交</w:t>
            </w:r>
            <w:r>
              <w:rPr>
                <w:rFonts w:hint="eastAsia" w:hAnsi="宋体" w:cs="宋体"/>
                <w:color w:val="000000"/>
                <w:kern w:val="0"/>
                <w:sz w:val="24"/>
                <w:szCs w:val="24"/>
              </w:rPr>
              <w:t>：投标人在投标截止时间前，可将纸质版和电子光盘或</w:t>
            </w:r>
            <w:r>
              <w:rPr>
                <w:rFonts w:hAnsi="宋体" w:cs="宋体"/>
                <w:color w:val="000000"/>
                <w:kern w:val="0"/>
                <w:sz w:val="24"/>
                <w:szCs w:val="24"/>
              </w:rPr>
              <w:t>U</w:t>
            </w:r>
            <w:r>
              <w:rPr>
                <w:rFonts w:hint="eastAsia" w:hAnsi="宋体" w:cs="宋体"/>
                <w:color w:val="000000"/>
                <w:kern w:val="0"/>
                <w:sz w:val="24"/>
                <w:szCs w:val="24"/>
              </w:rPr>
              <w:t>盘投标文件，按照招标文件要求密封和加写标记后，递交至</w:t>
            </w:r>
            <w:bookmarkStart w:id="35" w:name="EBe53dfc8c604343ea9bfa0a1ff7dff2c4"/>
            <w:bookmarkEnd w:id="35"/>
            <w:bookmarkStart w:id="36" w:name="EB3cbab604f2b74b3db541bf8bc6af4d5e"/>
            <w:bookmarkEnd w:id="36"/>
            <w:r>
              <w:rPr>
                <w:rFonts w:hint="eastAsia" w:hAnsi="宋体" w:cs="宋体"/>
                <w:b/>
                <w:bCs/>
                <w:color w:val="000000"/>
                <w:kern w:val="0"/>
                <w:sz w:val="24"/>
                <w:szCs w:val="24"/>
                <w:u w:val="single"/>
                <w:lang w:bidi="ar"/>
              </w:rPr>
              <w:t>湖北兴焱工程咨询有限公司（宜昌市中南路</w:t>
            </w:r>
            <w:r>
              <w:rPr>
                <w:rFonts w:hAnsi="宋体" w:cs="宋体"/>
                <w:b/>
                <w:bCs/>
                <w:color w:val="000000"/>
                <w:kern w:val="0"/>
                <w:sz w:val="24"/>
                <w:szCs w:val="24"/>
                <w:u w:val="single"/>
                <w:lang w:bidi="ar"/>
              </w:rPr>
              <w:t>35</w:t>
            </w:r>
            <w:r>
              <w:rPr>
                <w:rFonts w:hint="eastAsia" w:hAnsi="宋体" w:cs="宋体"/>
                <w:b/>
                <w:bCs/>
                <w:color w:val="000000"/>
                <w:kern w:val="0"/>
                <w:sz w:val="24"/>
                <w:szCs w:val="24"/>
                <w:u w:val="single"/>
                <w:lang w:bidi="ar"/>
              </w:rPr>
              <w:t>号兴发广场</w:t>
            </w:r>
            <w:r>
              <w:rPr>
                <w:rFonts w:hAnsi="宋体" w:cs="宋体"/>
                <w:b/>
                <w:bCs/>
                <w:color w:val="000000"/>
                <w:kern w:val="0"/>
                <w:sz w:val="24"/>
                <w:szCs w:val="24"/>
                <w:u w:val="single"/>
                <w:lang w:bidi="ar"/>
              </w:rPr>
              <w:t>A</w:t>
            </w:r>
            <w:r>
              <w:rPr>
                <w:rFonts w:hint="eastAsia" w:hAnsi="宋体" w:cs="宋体"/>
                <w:b/>
                <w:bCs/>
                <w:color w:val="000000"/>
                <w:kern w:val="0"/>
                <w:sz w:val="24"/>
                <w:szCs w:val="24"/>
                <w:u w:val="single"/>
                <w:lang w:bidi="ar"/>
              </w:rPr>
              <w:t>座写字楼</w:t>
            </w:r>
            <w:r>
              <w:rPr>
                <w:rFonts w:hAnsi="宋体" w:cs="宋体"/>
                <w:b/>
                <w:bCs/>
                <w:color w:val="000000"/>
                <w:kern w:val="0"/>
                <w:sz w:val="24"/>
                <w:szCs w:val="24"/>
                <w:u w:val="single"/>
                <w:lang w:bidi="ar"/>
              </w:rPr>
              <w:t>5</w:t>
            </w:r>
            <w:r>
              <w:rPr>
                <w:rFonts w:hint="eastAsia" w:hAnsi="宋体" w:cs="宋体"/>
                <w:b/>
                <w:bCs/>
                <w:color w:val="000000"/>
                <w:kern w:val="0"/>
                <w:sz w:val="24"/>
                <w:szCs w:val="24"/>
                <w:u w:val="single"/>
                <w:lang w:bidi="ar"/>
              </w:rPr>
              <w:t>楼）</w:t>
            </w:r>
            <w:r>
              <w:rPr>
                <w:rFonts w:hint="eastAsia" w:hAnsi="宋体" w:cs="宋体"/>
                <w:color w:val="000000"/>
                <w:kern w:val="0"/>
                <w:sz w:val="24"/>
                <w:szCs w:val="24"/>
              </w:rPr>
              <w:t>。逾期送达或者未送达指定地点的、或者未按照招标文件要求密封或者加写标记的投标文件，招标机构将拒收。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5.1.1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开标时间</w:t>
            </w:r>
          </w:p>
          <w:p>
            <w:pPr>
              <w:jc w:val="center"/>
              <w:rPr>
                <w:rFonts w:hAnsi="宋体" w:cs="宋体"/>
                <w:color w:val="000000"/>
                <w:kern w:val="0"/>
                <w:sz w:val="24"/>
                <w:szCs w:val="24"/>
              </w:rPr>
            </w:pPr>
            <w:r>
              <w:rPr>
                <w:rFonts w:hint="eastAsia" w:hAnsi="宋体" w:cs="宋体"/>
                <w:color w:val="000000"/>
                <w:kern w:val="0"/>
                <w:sz w:val="24"/>
                <w:szCs w:val="24"/>
              </w:rPr>
              <w:t>和地点</w:t>
            </w:r>
          </w:p>
        </w:tc>
        <w:tc>
          <w:tcPr>
            <w:tcW w:w="6145" w:type="dxa"/>
            <w:shd w:val="clear" w:color="auto" w:fill="FFFFFF"/>
            <w:vAlign w:val="center"/>
          </w:tcPr>
          <w:p>
            <w:pPr>
              <w:rPr>
                <w:rFonts w:hAnsi="宋体" w:cs="宋体"/>
                <w:color w:val="000000"/>
                <w:kern w:val="0"/>
                <w:sz w:val="24"/>
                <w:szCs w:val="24"/>
              </w:rPr>
            </w:pPr>
            <w:r>
              <w:rPr>
                <w:rFonts w:hint="eastAsia" w:hAnsi="宋体" w:cs="宋体"/>
                <w:color w:val="000000"/>
                <w:kern w:val="0"/>
                <w:sz w:val="24"/>
                <w:szCs w:val="24"/>
              </w:rPr>
              <w:t>开标时间：同投标截止时间</w:t>
            </w:r>
          </w:p>
          <w:p>
            <w:pPr>
              <w:rPr>
                <w:rFonts w:hAnsi="宋体" w:cs="宋体"/>
                <w:color w:val="000000"/>
                <w:kern w:val="0"/>
                <w:sz w:val="24"/>
                <w:szCs w:val="24"/>
              </w:rPr>
            </w:pPr>
            <w:r>
              <w:rPr>
                <w:rFonts w:hint="eastAsia" w:hAnsi="宋体" w:cs="宋体"/>
                <w:color w:val="000000"/>
                <w:kern w:val="0"/>
                <w:sz w:val="24"/>
                <w:szCs w:val="24"/>
              </w:rPr>
              <w:t>开标地点：同投标文件递交地点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6.1.1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评标委员会</w:t>
            </w:r>
          </w:p>
          <w:p>
            <w:pPr>
              <w:jc w:val="center"/>
              <w:rPr>
                <w:rFonts w:hAnsi="宋体" w:cs="宋体"/>
                <w:color w:val="000000"/>
                <w:kern w:val="0"/>
                <w:sz w:val="24"/>
                <w:szCs w:val="24"/>
              </w:rPr>
            </w:pPr>
            <w:r>
              <w:rPr>
                <w:rFonts w:hint="eastAsia" w:hAnsi="宋体" w:cs="宋体"/>
                <w:color w:val="000000"/>
                <w:kern w:val="0"/>
                <w:sz w:val="24"/>
                <w:szCs w:val="24"/>
              </w:rPr>
              <w:t>的组建</w:t>
            </w:r>
          </w:p>
        </w:tc>
        <w:tc>
          <w:tcPr>
            <w:tcW w:w="6145" w:type="dxa"/>
            <w:shd w:val="clear" w:color="auto" w:fill="FFFFFF"/>
            <w:vAlign w:val="center"/>
          </w:tcPr>
          <w:p>
            <w:pPr>
              <w:rPr>
                <w:rFonts w:hAnsi="宋体" w:cs="宋体"/>
                <w:color w:val="000000"/>
                <w:kern w:val="0"/>
                <w:sz w:val="24"/>
                <w:szCs w:val="24"/>
              </w:rPr>
            </w:pPr>
            <w:r>
              <w:rPr>
                <w:rFonts w:hint="eastAsia" w:hAnsi="宋体" w:cs="宋体"/>
                <w:color w:val="000000"/>
                <w:kern w:val="0"/>
                <w:sz w:val="24"/>
                <w:szCs w:val="24"/>
              </w:rPr>
              <w:t>评标委员会构成：</w:t>
            </w:r>
            <w:bookmarkStart w:id="37" w:name="EB5d4c3e910a364cdd899279184532e6c6"/>
            <w:bookmarkEnd w:id="37"/>
            <w:r>
              <w:rPr>
                <w:rFonts w:hAnsi="宋体" w:cs="宋体"/>
                <w:b/>
                <w:color w:val="000000"/>
                <w:kern w:val="0"/>
                <w:sz w:val="24"/>
                <w:szCs w:val="24"/>
              </w:rPr>
              <w:t>5</w:t>
            </w:r>
            <w:r>
              <w:rPr>
                <w:rFonts w:hint="eastAsia" w:hAnsi="宋体" w:cs="宋体"/>
                <w:color w:val="000000"/>
                <w:kern w:val="0"/>
                <w:sz w:val="24"/>
                <w:szCs w:val="24"/>
              </w:rPr>
              <w:t>人（招标人代表</w:t>
            </w:r>
            <w:r>
              <w:rPr>
                <w:rFonts w:hAnsi="宋体" w:cs="宋体"/>
                <w:b/>
                <w:color w:val="000000"/>
                <w:kern w:val="0"/>
                <w:sz w:val="24"/>
                <w:szCs w:val="24"/>
              </w:rPr>
              <w:t>1</w:t>
            </w:r>
            <w:r>
              <w:rPr>
                <w:rFonts w:hint="eastAsia" w:hAnsi="宋体" w:cs="宋体"/>
                <w:color w:val="000000"/>
                <w:kern w:val="0"/>
                <w:sz w:val="24"/>
                <w:szCs w:val="24"/>
              </w:rPr>
              <w:t>人、专家</w:t>
            </w:r>
            <w:r>
              <w:rPr>
                <w:rFonts w:hAnsi="宋体" w:cs="宋体"/>
                <w:b/>
                <w:color w:val="000000"/>
                <w:kern w:val="0"/>
                <w:sz w:val="24"/>
                <w:szCs w:val="24"/>
              </w:rPr>
              <w:t>4</w:t>
            </w:r>
            <w:r>
              <w:rPr>
                <w:rFonts w:hint="eastAsia" w:hAnsi="宋体" w:cs="宋体"/>
                <w:color w:val="000000"/>
                <w:kern w:val="0"/>
                <w:sz w:val="24"/>
                <w:szCs w:val="24"/>
              </w:rPr>
              <w:t>人）</w:t>
            </w:r>
            <w:r>
              <w:rPr>
                <w:rFonts w:hAnsi="宋体" w:cs="宋体"/>
                <w:color w:val="000000"/>
                <w:kern w:val="0"/>
                <w:sz w:val="24"/>
                <w:szCs w:val="24"/>
              </w:rPr>
              <w:t xml:space="preserve"> </w:t>
            </w:r>
            <w:bookmarkStart w:id="38" w:name="EB7ce27ab0d6d049f6b393e776ae6287f1"/>
            <w:bookmarkEnd w:id="38"/>
            <w:bookmarkStart w:id="39" w:name="EB8fc5fa365912403981a97d259d684270"/>
            <w:bookmarkEnd w:id="39"/>
          </w:p>
          <w:p>
            <w:pPr>
              <w:rPr>
                <w:rFonts w:hAnsi="宋体" w:cs="宋体"/>
                <w:color w:val="000000"/>
                <w:kern w:val="0"/>
                <w:sz w:val="24"/>
                <w:szCs w:val="24"/>
              </w:rPr>
            </w:pPr>
            <w:r>
              <w:rPr>
                <w:rFonts w:hint="eastAsia" w:hAnsi="宋体" w:cs="宋体"/>
                <w:color w:val="000000"/>
                <w:kern w:val="0"/>
                <w:sz w:val="24"/>
                <w:szCs w:val="24"/>
              </w:rPr>
              <w:t>评标专家确定方式：招标人在公司纪检监督下抽签组建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7.1.1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评标结果公告</w:t>
            </w:r>
          </w:p>
        </w:tc>
        <w:tc>
          <w:tcPr>
            <w:tcW w:w="6145" w:type="dxa"/>
            <w:shd w:val="clear" w:color="auto" w:fill="FFFFFF"/>
            <w:vAlign w:val="center"/>
          </w:tcPr>
          <w:p>
            <w:pPr>
              <w:rPr>
                <w:rFonts w:hAnsi="宋体" w:cs="宋体"/>
                <w:b/>
                <w:color w:val="000000"/>
                <w:kern w:val="0"/>
                <w:sz w:val="24"/>
                <w:szCs w:val="24"/>
              </w:rPr>
            </w:pPr>
            <w:r>
              <w:rPr>
                <w:rFonts w:hint="eastAsia" w:hAnsi="宋体" w:cs="宋体"/>
                <w:b/>
                <w:color w:val="000000"/>
                <w:kern w:val="0"/>
                <w:sz w:val="24"/>
                <w:szCs w:val="24"/>
              </w:rPr>
              <w:t>中国采购与招标网、宜昌交通旅游产业发展集团有限公司官网、湖北宜昌交运集团股份有限公司官网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7.2.1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是否授权</w:t>
            </w:r>
          </w:p>
          <w:p>
            <w:pPr>
              <w:jc w:val="center"/>
              <w:rPr>
                <w:rFonts w:hAnsi="宋体" w:cs="宋体"/>
                <w:color w:val="000000"/>
                <w:kern w:val="0"/>
                <w:sz w:val="24"/>
                <w:szCs w:val="24"/>
              </w:rPr>
            </w:pPr>
            <w:r>
              <w:rPr>
                <w:rFonts w:hint="eastAsia" w:hAnsi="宋体" w:cs="宋体"/>
                <w:color w:val="000000"/>
                <w:kern w:val="0"/>
                <w:sz w:val="24"/>
                <w:szCs w:val="24"/>
              </w:rPr>
              <w:t>评标委员会</w:t>
            </w:r>
          </w:p>
          <w:p>
            <w:pPr>
              <w:jc w:val="center"/>
              <w:rPr>
                <w:rFonts w:hAnsi="宋体" w:cs="宋体"/>
                <w:color w:val="000000"/>
                <w:kern w:val="0"/>
                <w:sz w:val="24"/>
                <w:szCs w:val="24"/>
              </w:rPr>
            </w:pPr>
            <w:r>
              <w:rPr>
                <w:rFonts w:hint="eastAsia" w:hAnsi="宋体" w:cs="宋体"/>
                <w:color w:val="000000"/>
                <w:kern w:val="0"/>
                <w:sz w:val="24"/>
                <w:szCs w:val="24"/>
              </w:rPr>
              <w:t>确定中标人</w:t>
            </w:r>
          </w:p>
        </w:tc>
        <w:tc>
          <w:tcPr>
            <w:tcW w:w="6145" w:type="dxa"/>
            <w:shd w:val="clear" w:color="auto" w:fill="FFFFFF"/>
            <w:vAlign w:val="center"/>
          </w:tcPr>
          <w:p>
            <w:pPr>
              <w:rPr>
                <w:rFonts w:hAnsi="宋体" w:cs="宋体"/>
                <w:color w:val="000000"/>
                <w:kern w:val="0"/>
                <w:sz w:val="24"/>
                <w:szCs w:val="24"/>
              </w:rPr>
            </w:pPr>
            <w:bookmarkStart w:id="40" w:name="EB7850533e4d7f49aa8b2af2016d15a4b4"/>
            <w:bookmarkEnd w:id="40"/>
            <w:r>
              <w:rPr>
                <w:rFonts w:hint="eastAsia" w:hAnsi="宋体" w:cs="宋体"/>
                <w:color w:val="000000"/>
                <w:kern w:val="0"/>
                <w:sz w:val="24"/>
                <w:szCs w:val="24"/>
              </w:rPr>
              <w:t>推荐中标候选人数：</w:t>
            </w:r>
            <w:r>
              <w:rPr>
                <w:rFonts w:hAnsi="宋体" w:cs="宋体"/>
                <w:color w:val="000000"/>
                <w:kern w:val="0"/>
                <w:sz w:val="24"/>
                <w:szCs w:val="24"/>
              </w:rPr>
              <w:t>3</w:t>
            </w:r>
            <w:r>
              <w:rPr>
                <w:rFonts w:hint="eastAsia" w:hAnsi="宋体" w:cs="宋体"/>
                <w:color w:val="000000"/>
                <w:kern w:val="0"/>
                <w:sz w:val="24"/>
                <w:szCs w:val="24"/>
              </w:rPr>
              <w:t>家</w:t>
            </w:r>
          </w:p>
          <w:p>
            <w:pPr>
              <w:rPr>
                <w:rFonts w:hAnsi="宋体" w:cs="宋体"/>
                <w:color w:val="000000"/>
                <w:kern w:val="0"/>
                <w:sz w:val="24"/>
                <w:szCs w:val="24"/>
                <w:u w:val="single"/>
              </w:rPr>
            </w:pPr>
            <w:r>
              <w:rPr>
                <w:rFonts w:hint="eastAsia" w:hAnsi="宋体" w:cs="宋体"/>
                <w:color w:val="000000"/>
                <w:kern w:val="0"/>
                <w:sz w:val="24"/>
                <w:szCs w:val="24"/>
              </w:rPr>
              <w:t>若不足</w:t>
            </w:r>
            <w:r>
              <w:rPr>
                <w:rFonts w:hAnsi="宋体" w:cs="宋体"/>
                <w:color w:val="000000"/>
                <w:kern w:val="0"/>
                <w:sz w:val="24"/>
                <w:szCs w:val="24"/>
              </w:rPr>
              <w:t>3</w:t>
            </w:r>
            <w:r>
              <w:rPr>
                <w:rFonts w:hint="eastAsia" w:hAnsi="宋体" w:cs="宋体"/>
                <w:color w:val="000000"/>
                <w:kern w:val="0"/>
                <w:sz w:val="24"/>
                <w:szCs w:val="24"/>
              </w:rPr>
              <w:t>家，则按相应家数推荐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7.5.1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履约保证金</w:t>
            </w:r>
          </w:p>
        </w:tc>
        <w:tc>
          <w:tcPr>
            <w:tcW w:w="6145" w:type="dxa"/>
            <w:shd w:val="clear" w:color="auto" w:fill="FFFFFF"/>
            <w:vAlign w:val="center"/>
          </w:tcPr>
          <w:p>
            <w:pPr>
              <w:rPr>
                <w:rFonts w:hAnsi="宋体" w:cs="宋体"/>
                <w:color w:val="FF0000"/>
                <w:kern w:val="0"/>
                <w:sz w:val="24"/>
                <w:szCs w:val="24"/>
              </w:rPr>
            </w:pPr>
            <w:r>
              <w:rPr>
                <w:rFonts w:hint="eastAsia" w:hAnsi="宋体" w:cs="宋体"/>
                <w:color w:val="000000"/>
                <w:kern w:val="0"/>
                <w:sz w:val="24"/>
                <w:szCs w:val="24"/>
              </w:rPr>
              <w:t>中标金额的1</w:t>
            </w:r>
            <w:r>
              <w:rPr>
                <w:rFonts w:hAnsi="宋体" w:cs="宋体"/>
                <w:color w:val="000000"/>
                <w:kern w:val="0"/>
                <w:sz w:val="24"/>
                <w:szCs w:val="24"/>
              </w:rPr>
              <w:t>0</w:t>
            </w:r>
            <w:r>
              <w:rPr>
                <w:rFonts w:hint="eastAsia" w:hAnsi="宋体" w:cs="宋体"/>
                <w:color w:val="000000"/>
                <w:kern w:val="0"/>
                <w:sz w:val="24"/>
                <w:szCs w:val="24"/>
              </w:rPr>
              <w:t>%</w:t>
            </w:r>
            <w:r>
              <w:rPr>
                <w:rFonts w:hAnsi="宋体" w:cs="宋体"/>
                <w:color w:val="000000"/>
                <w:kern w:val="0"/>
                <w:sz w:val="24"/>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10</w:t>
            </w:r>
          </w:p>
        </w:tc>
        <w:tc>
          <w:tcPr>
            <w:tcW w:w="7846" w:type="dxa"/>
            <w:gridSpan w:val="2"/>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需要补充的其他内容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10.1</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多标段投标</w:t>
            </w:r>
          </w:p>
        </w:tc>
        <w:tc>
          <w:tcPr>
            <w:tcW w:w="6145" w:type="dxa"/>
            <w:shd w:val="clear" w:color="auto" w:fill="FFFFFF"/>
            <w:vAlign w:val="center"/>
          </w:tcPr>
          <w:p>
            <w:pPr>
              <w:rPr>
                <w:rFonts w:hAnsi="宋体" w:cs="宋体"/>
                <w:color w:val="000000"/>
                <w:kern w:val="0"/>
                <w:sz w:val="24"/>
                <w:szCs w:val="24"/>
              </w:rPr>
            </w:pPr>
            <w:r>
              <w:rPr>
                <w:rFonts w:hAnsi="宋体" w:cs="宋体"/>
                <w:color w:val="000000"/>
                <w:kern w:val="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8"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10.2</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知识产权</w:t>
            </w:r>
          </w:p>
        </w:tc>
        <w:tc>
          <w:tcPr>
            <w:tcW w:w="6145" w:type="dxa"/>
            <w:shd w:val="clear" w:color="auto" w:fill="FFFFFF"/>
            <w:vAlign w:val="center"/>
          </w:tcPr>
          <w:p>
            <w:pPr>
              <w:rPr>
                <w:rFonts w:hAnsi="宋体" w:cs="宋体"/>
                <w:color w:val="000000"/>
                <w:kern w:val="0"/>
                <w:sz w:val="24"/>
                <w:szCs w:val="24"/>
              </w:rPr>
            </w:pPr>
            <w:r>
              <w:rPr>
                <w:rFonts w:hint="eastAsia" w:hAnsi="宋体" w:cs="宋体"/>
                <w:color w:val="000000"/>
                <w:kern w:val="0"/>
                <w:sz w:val="24"/>
                <w:szCs w:val="24"/>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10.3</w:t>
            </w:r>
          </w:p>
        </w:tc>
        <w:tc>
          <w:tcPr>
            <w:tcW w:w="1701" w:type="dxa"/>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解释权</w:t>
            </w:r>
          </w:p>
        </w:tc>
        <w:tc>
          <w:tcPr>
            <w:tcW w:w="6145" w:type="dxa"/>
            <w:shd w:val="clear" w:color="auto" w:fill="FFFFFF"/>
            <w:vAlign w:val="center"/>
          </w:tcPr>
          <w:p>
            <w:pPr>
              <w:rPr>
                <w:rFonts w:hAnsi="宋体" w:cs="宋体"/>
                <w:color w:val="000000"/>
                <w:kern w:val="0"/>
                <w:sz w:val="24"/>
                <w:szCs w:val="24"/>
              </w:rPr>
            </w:pPr>
            <w:r>
              <w:rPr>
                <w:rFonts w:hint="eastAsia" w:hAnsi="宋体" w:cs="宋体"/>
                <w:color w:val="000000"/>
                <w:kern w:val="0"/>
                <w:sz w:val="24"/>
                <w:szCs w:val="24"/>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人须知、评标办法、投标文件格式的先后顺序解释；同一组成文件中同一事项的规定或约定不一致的，以编排顺序在后者为准；同一组成文件不同版本间有不一致的，以形成时间在后者为准。按本款前述规定仍不能形成结论的，由招标人负责解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8" w:type="dxa"/>
            <w:shd w:val="clear" w:color="auto" w:fill="FFFFFF"/>
            <w:vAlign w:val="center"/>
          </w:tcPr>
          <w:p>
            <w:pPr>
              <w:jc w:val="center"/>
              <w:rPr>
                <w:rFonts w:hAnsi="宋体" w:cs="宋体"/>
                <w:color w:val="000000"/>
                <w:kern w:val="0"/>
                <w:sz w:val="24"/>
                <w:szCs w:val="24"/>
              </w:rPr>
            </w:pPr>
            <w:r>
              <w:rPr>
                <w:rFonts w:hAnsi="宋体" w:cs="宋体"/>
                <w:color w:val="000000"/>
                <w:kern w:val="0"/>
                <w:sz w:val="24"/>
                <w:szCs w:val="24"/>
              </w:rPr>
              <w:t>10.4</w:t>
            </w:r>
          </w:p>
        </w:tc>
        <w:tc>
          <w:tcPr>
            <w:tcW w:w="7846" w:type="dxa"/>
            <w:gridSpan w:val="2"/>
            <w:shd w:val="clear" w:color="auto" w:fill="FFFFFF"/>
            <w:vAlign w:val="center"/>
          </w:tcPr>
          <w:p>
            <w:pPr>
              <w:jc w:val="center"/>
              <w:rPr>
                <w:rFonts w:hAnsi="宋体" w:cs="宋体"/>
                <w:color w:val="000000"/>
                <w:kern w:val="0"/>
                <w:sz w:val="24"/>
                <w:szCs w:val="24"/>
              </w:rPr>
            </w:pPr>
            <w:r>
              <w:rPr>
                <w:rFonts w:hint="eastAsia" w:hAnsi="宋体" w:cs="宋体"/>
                <w:color w:val="000000"/>
                <w:kern w:val="0"/>
                <w:sz w:val="24"/>
                <w:szCs w:val="24"/>
              </w:rPr>
              <w:t>招标人补充的其他内容</w:t>
            </w:r>
          </w:p>
        </w:tc>
      </w:tr>
    </w:tbl>
    <w:p>
      <w:pPr>
        <w:pStyle w:val="220"/>
        <w:rPr>
          <w:rFonts w:ascii="Calibri" w:hAnsi="宋体" w:eastAsia="宋体" w:cs="Calibri"/>
          <w:szCs w:val="21"/>
        </w:rPr>
      </w:pPr>
      <w:bookmarkStart w:id="41" w:name="_Toc522293505"/>
      <w:bookmarkStart w:id="42" w:name="_Toc30109"/>
    </w:p>
    <w:p>
      <w:pPr>
        <w:pStyle w:val="220"/>
        <w:rPr>
          <w:rFonts w:ascii="Calibri" w:hAnsi="宋体" w:eastAsia="宋体" w:cs="Calibri"/>
          <w:szCs w:val="21"/>
        </w:rPr>
      </w:pPr>
    </w:p>
    <w:p>
      <w:pPr>
        <w:pStyle w:val="220"/>
        <w:rPr>
          <w:rFonts w:ascii="Calibri" w:hAnsi="宋体" w:eastAsia="宋体" w:cs="Calibri"/>
          <w:szCs w:val="21"/>
        </w:rPr>
      </w:pPr>
    </w:p>
    <w:p>
      <w:pPr>
        <w:pStyle w:val="220"/>
        <w:rPr>
          <w:rFonts w:ascii="Calibri" w:hAnsi="宋体" w:eastAsia="宋体" w:cs="Calibri"/>
          <w:szCs w:val="21"/>
        </w:rPr>
      </w:pPr>
    </w:p>
    <w:p>
      <w:pPr>
        <w:pStyle w:val="220"/>
        <w:rPr>
          <w:rFonts w:ascii="Calibri" w:hAnsi="宋体" w:eastAsia="宋体" w:cs="Calibri"/>
          <w:szCs w:val="21"/>
        </w:rPr>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220"/>
      </w:pPr>
    </w:p>
    <w:p>
      <w:pPr>
        <w:pStyle w:val="6"/>
        <w:spacing w:before="240" w:beforeLines="100" w:after="240" w:afterLines="100" w:line="480" w:lineRule="exact"/>
        <w:rPr>
          <w:rFonts w:ascii="黑体" w:hAnsi="黑体" w:eastAsia="黑体" w:cs="宋体"/>
          <w:b w:val="0"/>
          <w:color w:val="000000"/>
        </w:rPr>
      </w:pPr>
      <w:bookmarkStart w:id="43" w:name="_Toc29351"/>
      <w:r>
        <w:rPr>
          <w:rFonts w:hint="eastAsia" w:ascii="黑体" w:hAnsi="黑体" w:eastAsia="黑体" w:cs="宋体"/>
          <w:b w:val="0"/>
          <w:color w:val="000000"/>
        </w:rPr>
        <w:t>投标人须知正文部分</w:t>
      </w:r>
      <w:bookmarkEnd w:id="41"/>
      <w:bookmarkEnd w:id="42"/>
      <w:bookmarkEnd w:id="43"/>
    </w:p>
    <w:p>
      <w:pPr>
        <w:pStyle w:val="6"/>
        <w:spacing w:line="480" w:lineRule="exact"/>
        <w:ind w:firstLine="482" w:firstLineChars="200"/>
        <w:jc w:val="both"/>
        <w:rPr>
          <w:rFonts w:ascii="仿宋_GB2312" w:cs="宋体"/>
          <w:color w:val="000000"/>
          <w:sz w:val="24"/>
          <w:szCs w:val="24"/>
        </w:rPr>
      </w:pPr>
      <w:bookmarkStart w:id="44" w:name="_Toc522293506"/>
      <w:bookmarkStart w:id="45" w:name="_Toc2439"/>
      <w:bookmarkStart w:id="46" w:name="_Toc14862"/>
      <w:r>
        <w:rPr>
          <w:rFonts w:ascii="仿宋_GB2312" w:cs="宋体"/>
          <w:color w:val="000000"/>
          <w:sz w:val="24"/>
          <w:szCs w:val="24"/>
        </w:rPr>
        <w:t xml:space="preserve">1. </w:t>
      </w:r>
      <w:r>
        <w:rPr>
          <w:rFonts w:hint="eastAsia" w:ascii="仿宋_GB2312" w:cs="宋体"/>
          <w:color w:val="000000"/>
          <w:sz w:val="24"/>
          <w:szCs w:val="24"/>
        </w:rPr>
        <w:t>总则</w:t>
      </w:r>
      <w:bookmarkEnd w:id="44"/>
      <w:bookmarkEnd w:id="45"/>
      <w:bookmarkEnd w:id="46"/>
    </w:p>
    <w:p>
      <w:pPr>
        <w:pStyle w:val="7"/>
        <w:keepNext w:val="0"/>
        <w:keepLines w:val="0"/>
        <w:spacing w:after="0" w:line="480" w:lineRule="exact"/>
        <w:ind w:firstLine="482" w:firstLineChars="200"/>
        <w:jc w:val="both"/>
        <w:rPr>
          <w:rFonts w:ascii="仿宋_GB2312" w:cs="宋体"/>
          <w:color w:val="000000"/>
        </w:rPr>
      </w:pPr>
      <w:bookmarkStart w:id="47" w:name="_Toc18603036"/>
      <w:bookmarkStart w:id="48" w:name="_Toc16356"/>
      <w:r>
        <w:rPr>
          <w:rFonts w:ascii="仿宋_GB2312" w:cs="宋体"/>
          <w:color w:val="000000"/>
        </w:rPr>
        <w:t xml:space="preserve">1.1 </w:t>
      </w:r>
      <w:r>
        <w:rPr>
          <w:rFonts w:hint="eastAsia" w:ascii="仿宋_GB2312" w:cs="宋体"/>
          <w:color w:val="000000"/>
        </w:rPr>
        <w:t>项目概况</w:t>
      </w:r>
      <w:bookmarkEnd w:id="47"/>
      <w:bookmarkEnd w:id="48"/>
    </w:p>
    <w:p>
      <w:pPr>
        <w:spacing w:line="480" w:lineRule="exact"/>
        <w:ind w:firstLine="480" w:firstLineChars="200"/>
        <w:rPr>
          <w:rFonts w:hAnsi="宋体" w:cs="宋体"/>
          <w:color w:val="000000"/>
          <w:sz w:val="24"/>
          <w:szCs w:val="24"/>
        </w:rPr>
      </w:pPr>
      <w:r>
        <w:rPr>
          <w:rFonts w:hAnsi="宋体" w:cs="宋体"/>
          <w:color w:val="000000"/>
          <w:sz w:val="24"/>
          <w:szCs w:val="24"/>
        </w:rPr>
        <w:t xml:space="preserve">1.1.1 </w:t>
      </w:r>
      <w:r>
        <w:rPr>
          <w:rFonts w:hint="eastAsia" w:hAnsi="宋体" w:cs="宋体"/>
          <w:color w:val="000000"/>
          <w:sz w:val="24"/>
          <w:szCs w:val="24"/>
        </w:rPr>
        <w:t>根据《中华人民共和国招标投标法》、《中华人民共和国招标投标法实施条例》等有关法律、法规和规章的规定，本招标项目已具备招标条件，现对本标段施工进行招标。</w:t>
      </w:r>
    </w:p>
    <w:p>
      <w:pPr>
        <w:spacing w:line="480" w:lineRule="exact"/>
        <w:ind w:firstLine="480" w:firstLineChars="200"/>
        <w:rPr>
          <w:rFonts w:hAnsi="宋体" w:cs="宋体"/>
          <w:color w:val="000000"/>
          <w:sz w:val="24"/>
          <w:szCs w:val="24"/>
        </w:rPr>
      </w:pPr>
      <w:r>
        <w:rPr>
          <w:rFonts w:hAnsi="宋体" w:cs="宋体"/>
          <w:color w:val="000000"/>
          <w:sz w:val="24"/>
          <w:szCs w:val="24"/>
        </w:rPr>
        <w:t>1.1.2</w:t>
      </w:r>
      <w:r>
        <w:rPr>
          <w:rFonts w:hint="eastAsia" w:hAnsi="宋体" w:cs="宋体"/>
          <w:color w:val="000000"/>
          <w:sz w:val="24"/>
          <w:szCs w:val="24"/>
        </w:rPr>
        <w:t>本招标项目招标人：见投标人须知前附表。</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Ansi="宋体" w:cs="宋体"/>
          <w:color w:val="000000"/>
          <w:sz w:val="24"/>
          <w:szCs w:val="24"/>
        </w:rPr>
        <w:t>1.1.3</w:t>
      </w:r>
      <w:r>
        <w:rPr>
          <w:rFonts w:hint="eastAsia" w:hAnsi="宋体" w:cs="宋体"/>
          <w:color w:val="000000"/>
          <w:sz w:val="24"/>
          <w:szCs w:val="24"/>
        </w:rPr>
        <w:t>本标段招标代理机构：见投标人须知前附表。</w:t>
      </w:r>
    </w:p>
    <w:p>
      <w:pPr>
        <w:spacing w:line="480" w:lineRule="exact"/>
        <w:ind w:firstLine="480" w:firstLineChars="200"/>
        <w:rPr>
          <w:rFonts w:hAnsi="宋体" w:cs="宋体"/>
          <w:color w:val="000000"/>
          <w:sz w:val="24"/>
          <w:szCs w:val="24"/>
        </w:rPr>
      </w:pPr>
      <w:r>
        <w:rPr>
          <w:rFonts w:hAnsi="宋体" w:cs="宋体"/>
          <w:color w:val="000000"/>
          <w:sz w:val="24"/>
          <w:szCs w:val="24"/>
        </w:rPr>
        <w:t>1.1.4</w:t>
      </w:r>
      <w:r>
        <w:rPr>
          <w:rFonts w:hint="eastAsia" w:hAnsi="宋体" w:cs="宋体"/>
          <w:color w:val="000000"/>
          <w:sz w:val="24"/>
          <w:szCs w:val="24"/>
        </w:rPr>
        <w:t>本招标标段名称：见投标人须知前附表。</w:t>
      </w:r>
    </w:p>
    <w:p>
      <w:pPr>
        <w:spacing w:line="480" w:lineRule="exact"/>
        <w:ind w:firstLine="480" w:firstLineChars="200"/>
        <w:rPr>
          <w:rFonts w:hAnsi="宋体" w:cs="宋体"/>
          <w:color w:val="000000"/>
          <w:sz w:val="24"/>
          <w:szCs w:val="24"/>
        </w:rPr>
      </w:pPr>
      <w:bookmarkStart w:id="49" w:name="_Toc18603037"/>
      <w:r>
        <w:rPr>
          <w:rFonts w:hAnsi="宋体" w:cs="宋体"/>
          <w:color w:val="000000"/>
          <w:sz w:val="24"/>
          <w:szCs w:val="24"/>
        </w:rPr>
        <w:t xml:space="preserve">1.1.5 </w:t>
      </w:r>
      <w:r>
        <w:rPr>
          <w:rFonts w:hint="eastAsia" w:hAnsi="宋体" w:cs="宋体"/>
          <w:color w:val="000000"/>
          <w:sz w:val="24"/>
          <w:szCs w:val="24"/>
        </w:rPr>
        <w:t>本标段交付地点：见投标人须知前附表。</w:t>
      </w:r>
      <w:bookmarkEnd w:id="49"/>
    </w:p>
    <w:p>
      <w:pPr>
        <w:pStyle w:val="7"/>
        <w:keepNext w:val="0"/>
        <w:keepLines w:val="0"/>
        <w:spacing w:after="0" w:line="480" w:lineRule="exact"/>
        <w:ind w:firstLine="482" w:firstLineChars="200"/>
        <w:jc w:val="both"/>
        <w:rPr>
          <w:rFonts w:ascii="仿宋_GB2312" w:cs="宋体"/>
          <w:color w:val="000000"/>
        </w:rPr>
      </w:pPr>
      <w:bookmarkStart w:id="50" w:name="_Toc12333"/>
      <w:bookmarkStart w:id="51" w:name="_Toc18603038"/>
      <w:r>
        <w:rPr>
          <w:rFonts w:ascii="仿宋_GB2312" w:cs="宋体"/>
          <w:color w:val="000000"/>
        </w:rPr>
        <w:t xml:space="preserve">1.2 </w:t>
      </w:r>
      <w:r>
        <w:rPr>
          <w:rFonts w:hint="eastAsia" w:ascii="仿宋_GB2312" w:cs="宋体"/>
          <w:color w:val="000000"/>
        </w:rPr>
        <w:t>资金来源和落实情况</w:t>
      </w:r>
      <w:bookmarkEnd w:id="50"/>
      <w:bookmarkEnd w:id="51"/>
    </w:p>
    <w:p>
      <w:pPr>
        <w:spacing w:line="480" w:lineRule="exact"/>
        <w:ind w:firstLine="480" w:firstLineChars="200"/>
        <w:rPr>
          <w:rFonts w:hAnsi="宋体" w:cs="宋体"/>
          <w:color w:val="000000"/>
          <w:sz w:val="24"/>
          <w:szCs w:val="24"/>
        </w:rPr>
      </w:pPr>
      <w:r>
        <w:rPr>
          <w:rFonts w:hAnsi="宋体" w:cs="宋体"/>
          <w:color w:val="000000"/>
          <w:sz w:val="24"/>
          <w:szCs w:val="24"/>
        </w:rPr>
        <w:t xml:space="preserve">1.2.1 </w:t>
      </w:r>
      <w:r>
        <w:rPr>
          <w:rFonts w:hint="eastAsia" w:hAnsi="宋体" w:cs="宋体"/>
          <w:color w:val="000000"/>
          <w:sz w:val="24"/>
          <w:szCs w:val="24"/>
        </w:rPr>
        <w:t>本招标标段的资金来源：见投标人须知前附表。</w:t>
      </w:r>
    </w:p>
    <w:p>
      <w:pPr>
        <w:spacing w:line="480" w:lineRule="exact"/>
        <w:ind w:firstLine="480" w:firstLineChars="200"/>
        <w:rPr>
          <w:rFonts w:hAnsi="宋体" w:cs="宋体"/>
          <w:color w:val="000000"/>
          <w:sz w:val="24"/>
          <w:szCs w:val="24"/>
        </w:rPr>
      </w:pPr>
      <w:r>
        <w:rPr>
          <w:rFonts w:hAnsi="宋体" w:cs="宋体"/>
          <w:color w:val="000000"/>
          <w:sz w:val="24"/>
          <w:szCs w:val="24"/>
        </w:rPr>
        <w:t>1.2.2</w:t>
      </w:r>
      <w:r>
        <w:rPr>
          <w:rFonts w:hint="eastAsia" w:hAnsi="宋体" w:cs="宋体"/>
          <w:color w:val="000000"/>
          <w:sz w:val="24"/>
          <w:szCs w:val="24"/>
        </w:rPr>
        <w:t>本招标标段的资金落实情况：见投标人须知前附表。</w:t>
      </w:r>
    </w:p>
    <w:p>
      <w:pPr>
        <w:pStyle w:val="7"/>
        <w:keepNext w:val="0"/>
        <w:keepLines w:val="0"/>
        <w:spacing w:after="0" w:line="480" w:lineRule="exact"/>
        <w:ind w:firstLine="482" w:firstLineChars="200"/>
        <w:jc w:val="both"/>
        <w:rPr>
          <w:rFonts w:ascii="仿宋_GB2312" w:cs="宋体"/>
          <w:color w:val="000000"/>
        </w:rPr>
      </w:pPr>
      <w:bookmarkStart w:id="52" w:name="_Toc18603039"/>
      <w:bookmarkStart w:id="53" w:name="_Toc22564"/>
      <w:r>
        <w:rPr>
          <w:rFonts w:ascii="仿宋_GB2312" w:cs="宋体"/>
          <w:color w:val="000000"/>
        </w:rPr>
        <w:t>1.3招标范围、交付时间、资格审查方式和招标方式</w:t>
      </w:r>
      <w:bookmarkEnd w:id="52"/>
      <w:bookmarkEnd w:id="53"/>
    </w:p>
    <w:p>
      <w:pPr>
        <w:spacing w:line="480" w:lineRule="exact"/>
        <w:ind w:firstLine="480" w:firstLineChars="200"/>
        <w:rPr>
          <w:rFonts w:hAnsi="宋体" w:cs="宋体"/>
          <w:color w:val="000000"/>
          <w:sz w:val="24"/>
          <w:szCs w:val="24"/>
        </w:rPr>
      </w:pPr>
      <w:r>
        <w:rPr>
          <w:rFonts w:hAnsi="宋体" w:cs="宋体"/>
          <w:color w:val="000000"/>
          <w:sz w:val="24"/>
          <w:szCs w:val="24"/>
        </w:rPr>
        <w:t xml:space="preserve">1.3.1 </w:t>
      </w:r>
      <w:r>
        <w:rPr>
          <w:rFonts w:hint="eastAsia" w:hAnsi="宋体" w:cs="宋体"/>
          <w:color w:val="000000"/>
          <w:sz w:val="24"/>
          <w:szCs w:val="24"/>
        </w:rPr>
        <w:t>本次招标范围：见投标人须知前附表。</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1.3.2 </w:t>
      </w:r>
      <w:r>
        <w:rPr>
          <w:rFonts w:hint="eastAsia" w:hAnsi="宋体" w:cs="宋体"/>
          <w:color w:val="000000"/>
          <w:sz w:val="24"/>
          <w:szCs w:val="24"/>
        </w:rPr>
        <w:t>本标段的交付时间：见投标人须知前附表。</w:t>
      </w:r>
    </w:p>
    <w:p>
      <w:pPr>
        <w:spacing w:line="480" w:lineRule="exact"/>
        <w:ind w:firstLine="480" w:firstLineChars="200"/>
        <w:rPr>
          <w:rFonts w:hAnsi="宋体" w:cs="宋体"/>
          <w:color w:val="000000"/>
          <w:sz w:val="24"/>
          <w:szCs w:val="24"/>
        </w:rPr>
      </w:pPr>
      <w:r>
        <w:rPr>
          <w:rFonts w:hAnsi="宋体" w:cs="宋体"/>
          <w:color w:val="000000"/>
          <w:sz w:val="24"/>
          <w:szCs w:val="24"/>
        </w:rPr>
        <w:t>1.3.3</w:t>
      </w:r>
      <w:r>
        <w:rPr>
          <w:rFonts w:hint="eastAsia" w:hAnsi="宋体" w:cs="宋体"/>
          <w:color w:val="000000"/>
          <w:sz w:val="24"/>
          <w:szCs w:val="24"/>
        </w:rPr>
        <w:t>本标段的资格审查方式：见投标人须知前附表。</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1.3.4 </w:t>
      </w:r>
      <w:r>
        <w:rPr>
          <w:rFonts w:hint="eastAsia" w:hAnsi="宋体" w:cs="宋体"/>
          <w:color w:val="000000"/>
          <w:sz w:val="24"/>
          <w:szCs w:val="24"/>
        </w:rPr>
        <w:t>本标段的招标方式：见投标人须知前附表。</w:t>
      </w:r>
    </w:p>
    <w:p>
      <w:pPr>
        <w:pStyle w:val="7"/>
        <w:keepNext w:val="0"/>
        <w:keepLines w:val="0"/>
        <w:spacing w:after="0" w:line="480" w:lineRule="exact"/>
        <w:ind w:firstLine="482" w:firstLineChars="200"/>
        <w:jc w:val="both"/>
        <w:rPr>
          <w:rFonts w:ascii="仿宋_GB2312" w:cs="宋体"/>
          <w:color w:val="000000"/>
        </w:rPr>
      </w:pPr>
      <w:bookmarkStart w:id="54" w:name="_Toc18603040"/>
      <w:bookmarkStart w:id="55" w:name="_Toc15161"/>
      <w:r>
        <w:rPr>
          <w:rFonts w:ascii="仿宋_GB2312" w:cs="宋体"/>
          <w:color w:val="000000"/>
        </w:rPr>
        <w:t xml:space="preserve">1.4 </w:t>
      </w:r>
      <w:r>
        <w:rPr>
          <w:rFonts w:hint="eastAsia" w:ascii="仿宋_GB2312" w:cs="宋体"/>
          <w:color w:val="000000"/>
        </w:rPr>
        <w:t>投标人资格要求</w:t>
      </w:r>
      <w:bookmarkEnd w:id="54"/>
      <w:bookmarkEnd w:id="55"/>
    </w:p>
    <w:p>
      <w:pPr>
        <w:spacing w:line="480" w:lineRule="exact"/>
        <w:ind w:firstLine="480" w:firstLineChars="200"/>
        <w:rPr>
          <w:rFonts w:hAnsi="宋体" w:cs="宋体"/>
          <w:color w:val="000000"/>
          <w:sz w:val="24"/>
          <w:szCs w:val="24"/>
        </w:rPr>
      </w:pPr>
      <w:r>
        <w:rPr>
          <w:rFonts w:hAnsi="宋体" w:cs="宋体"/>
          <w:color w:val="000000"/>
          <w:sz w:val="24"/>
          <w:szCs w:val="24"/>
        </w:rPr>
        <w:t xml:space="preserve">1.4.1 </w:t>
      </w:r>
      <w:r>
        <w:rPr>
          <w:rFonts w:hint="eastAsia" w:hAnsi="宋体" w:cs="宋体"/>
          <w:color w:val="000000"/>
          <w:sz w:val="24"/>
          <w:szCs w:val="24"/>
        </w:rPr>
        <w:t>投标人的资质条件、能力和信誉应符合投标人须知前附表的要求。</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1.4.2 </w:t>
      </w:r>
      <w:r>
        <w:rPr>
          <w:rFonts w:hint="eastAsia" w:hAnsi="宋体" w:cs="宋体"/>
          <w:color w:val="000000"/>
          <w:sz w:val="24"/>
          <w:szCs w:val="24"/>
        </w:rPr>
        <w:t>投标人须知前附表规定接受联合体投标的（如有），除应符合本章第</w:t>
      </w:r>
      <w:r>
        <w:rPr>
          <w:rFonts w:hAnsi="宋体" w:cs="宋体"/>
          <w:color w:val="000000"/>
          <w:sz w:val="24"/>
          <w:szCs w:val="24"/>
        </w:rPr>
        <w:t>1.4.1</w:t>
      </w:r>
      <w:r>
        <w:rPr>
          <w:rFonts w:hint="eastAsia" w:hAnsi="宋体" w:cs="宋体"/>
          <w:color w:val="000000"/>
          <w:sz w:val="24"/>
          <w:szCs w:val="24"/>
        </w:rPr>
        <w:t>项和投标人须知前附表的要求外，还应遵守以下规定：</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1</w:t>
      </w:r>
      <w:r>
        <w:rPr>
          <w:rFonts w:hint="eastAsia" w:hAnsi="宋体" w:cs="宋体"/>
          <w:color w:val="000000"/>
          <w:sz w:val="24"/>
          <w:szCs w:val="24"/>
        </w:rPr>
        <w:t>）联合体各方必须按招标文件提供的格式签订联合体协议书，明确联合体牵头人和各方的权利义务；</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2</w:t>
      </w:r>
      <w:r>
        <w:rPr>
          <w:rFonts w:hint="eastAsia" w:hAnsi="宋体" w:cs="宋体"/>
          <w:color w:val="000000"/>
          <w:sz w:val="24"/>
          <w:szCs w:val="24"/>
        </w:rPr>
        <w:t>）两个以上资质类别相同但资质等级不同且分工相同的成员组成的联合体申请人，以联合体成员中资质等级较低者的资质等级作为联合体申请人的资质等级。</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3</w:t>
      </w:r>
      <w:r>
        <w:rPr>
          <w:rFonts w:hint="eastAsia" w:hAnsi="宋体" w:cs="宋体"/>
          <w:color w:val="000000"/>
          <w:sz w:val="24"/>
          <w:szCs w:val="24"/>
        </w:rPr>
        <w:t>）两个以上资质类别不同的成员组成的联合体，按照联合体协议中约定的内部分工分别认定联合体申请人的资质类别和等级，不承担联合体协议约定由其他成员承担的专业工程的成员，其相应的专业资质和等级不参与联合体申请人的资质和等级的认定。</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4</w:t>
      </w:r>
      <w:r>
        <w:rPr>
          <w:rFonts w:hint="eastAsia" w:hAnsi="宋体" w:cs="宋体"/>
          <w:color w:val="000000"/>
          <w:sz w:val="24"/>
          <w:szCs w:val="24"/>
        </w:rPr>
        <w:t>）联合体各方不得再以自己名义单独或加入其他联合体在同一标段中参加资格预审。</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1.4.3 </w:t>
      </w:r>
      <w:r>
        <w:rPr>
          <w:rFonts w:hint="eastAsia" w:hAnsi="宋体" w:cs="宋体"/>
          <w:color w:val="000000"/>
          <w:sz w:val="24"/>
          <w:szCs w:val="24"/>
        </w:rPr>
        <w:t>投标人不得存在下列情形之一：</w:t>
      </w:r>
    </w:p>
    <w:p>
      <w:pPr>
        <w:spacing w:line="480" w:lineRule="exact"/>
        <w:ind w:firstLine="480" w:firstLineChars="200"/>
        <w:rPr>
          <w:rFonts w:hAnsi="宋体" w:cs="宋体"/>
          <w:color w:val="000000"/>
          <w:sz w:val="24"/>
          <w:szCs w:val="24"/>
        </w:rPr>
      </w:pPr>
      <w:bookmarkStart w:id="56" w:name="EB29c46255ef7f4730ad13832f74811d13"/>
      <w:r>
        <w:rPr>
          <w:rFonts w:hint="eastAsia" w:hAnsi="宋体" w:cs="宋体"/>
          <w:color w:val="000000"/>
          <w:sz w:val="24"/>
          <w:szCs w:val="24"/>
        </w:rPr>
        <w:t>（</w:t>
      </w:r>
      <w:r>
        <w:rPr>
          <w:rFonts w:hAnsi="宋体" w:cs="宋体"/>
          <w:color w:val="000000"/>
          <w:sz w:val="24"/>
          <w:szCs w:val="24"/>
        </w:rPr>
        <w:t>1</w:t>
      </w:r>
      <w:r>
        <w:rPr>
          <w:rFonts w:hint="eastAsia" w:hAnsi="宋体" w:cs="宋体"/>
          <w:color w:val="000000"/>
          <w:sz w:val="24"/>
          <w:szCs w:val="24"/>
        </w:rPr>
        <w:t>）为招标人不具有独立法人资格的附属机构（单位）；</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2</w:t>
      </w:r>
      <w:r>
        <w:rPr>
          <w:rFonts w:hint="eastAsia" w:hAnsi="宋体" w:cs="宋体"/>
          <w:color w:val="000000"/>
          <w:sz w:val="24"/>
          <w:szCs w:val="24"/>
        </w:rPr>
        <w:t>）为本标段前期准备提供设计或咨询服务的，但设计施工总承包的除外；</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3</w:t>
      </w:r>
      <w:r>
        <w:rPr>
          <w:rFonts w:hint="eastAsia" w:hAnsi="宋体" w:cs="宋体"/>
          <w:color w:val="000000"/>
          <w:sz w:val="24"/>
          <w:szCs w:val="24"/>
        </w:rPr>
        <w:t>）为本标段的监理人；</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4</w:t>
      </w:r>
      <w:r>
        <w:rPr>
          <w:rFonts w:hint="eastAsia" w:hAnsi="宋体" w:cs="宋体"/>
          <w:color w:val="000000"/>
          <w:sz w:val="24"/>
          <w:szCs w:val="24"/>
        </w:rPr>
        <w:t>）为本标段的代建人；</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5</w:t>
      </w:r>
      <w:r>
        <w:rPr>
          <w:rFonts w:hint="eastAsia" w:hAnsi="宋体" w:cs="宋体"/>
          <w:color w:val="000000"/>
          <w:sz w:val="24"/>
          <w:szCs w:val="24"/>
        </w:rPr>
        <w:t>）为本标段提供招标代理服务的；</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6</w:t>
      </w:r>
      <w:r>
        <w:rPr>
          <w:rFonts w:hint="eastAsia" w:hAnsi="宋体" w:cs="宋体"/>
          <w:color w:val="000000"/>
          <w:sz w:val="24"/>
          <w:szCs w:val="24"/>
        </w:rPr>
        <w:t>）与本标段的监理人或代建人或招标代理机构同为一个法定代表人的；</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7</w:t>
      </w:r>
      <w:r>
        <w:rPr>
          <w:rFonts w:hint="eastAsia" w:hAnsi="宋体" w:cs="宋体"/>
          <w:color w:val="000000"/>
          <w:sz w:val="24"/>
          <w:szCs w:val="24"/>
        </w:rPr>
        <w:t>）与本标段的监理人或代建人或招标代理机构相互控股或参股的；</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8</w:t>
      </w:r>
      <w:r>
        <w:rPr>
          <w:rFonts w:hint="eastAsia" w:hAnsi="宋体" w:cs="宋体"/>
          <w:color w:val="000000"/>
          <w:sz w:val="24"/>
          <w:szCs w:val="24"/>
        </w:rPr>
        <w:t>）与本标段的监理人或代建人或招标代理机构相互任职或工作的；</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9</w:t>
      </w:r>
      <w:r>
        <w:rPr>
          <w:rFonts w:hint="eastAsia" w:hAnsi="宋体" w:cs="宋体"/>
          <w:color w:val="000000"/>
          <w:sz w:val="24"/>
          <w:szCs w:val="24"/>
        </w:rPr>
        <w:t>）被责令停业的；</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10</w:t>
      </w:r>
      <w:r>
        <w:rPr>
          <w:rFonts w:hint="eastAsia" w:hAnsi="宋体" w:cs="宋体"/>
          <w:color w:val="000000"/>
          <w:sz w:val="24"/>
          <w:szCs w:val="24"/>
        </w:rPr>
        <w:t>）被暂停或取消投标资格且处于有效期内的；</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11</w:t>
      </w:r>
      <w:r>
        <w:rPr>
          <w:rFonts w:hint="eastAsia" w:hAnsi="宋体" w:cs="宋体"/>
          <w:color w:val="000000"/>
          <w:sz w:val="24"/>
          <w:szCs w:val="24"/>
        </w:rPr>
        <w:t>）财产被接管或冻结的；</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12）在最近三年内有骗取中标或严重违约或重大工程质量问题的。</w:t>
      </w:r>
      <w:bookmarkEnd w:id="56"/>
    </w:p>
    <w:p>
      <w:pPr>
        <w:spacing w:line="480" w:lineRule="exact"/>
        <w:ind w:firstLine="480" w:firstLineChars="200"/>
        <w:rPr>
          <w:rFonts w:hAnsi="宋体" w:cs="宋体"/>
          <w:color w:val="000000"/>
          <w:sz w:val="24"/>
          <w:szCs w:val="24"/>
        </w:rPr>
      </w:pPr>
      <w:r>
        <w:rPr>
          <w:rFonts w:hAnsi="宋体" w:cs="宋体"/>
          <w:color w:val="000000"/>
          <w:sz w:val="24"/>
          <w:szCs w:val="24"/>
        </w:rPr>
        <w:t xml:space="preserve">1.4.4 </w:t>
      </w:r>
      <w:r>
        <w:rPr>
          <w:rFonts w:hint="eastAsia" w:hAnsi="宋体" w:cs="宋体"/>
          <w:color w:val="000000"/>
          <w:sz w:val="24"/>
          <w:szCs w:val="24"/>
        </w:rPr>
        <w:t>投标人存在下列情形之一的，相关投标均无效：</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1</w:t>
      </w:r>
      <w:r>
        <w:rPr>
          <w:rFonts w:hint="eastAsia" w:hAnsi="宋体" w:cs="宋体"/>
          <w:color w:val="000000"/>
          <w:sz w:val="24"/>
          <w:szCs w:val="24"/>
        </w:rPr>
        <w:t>）与招标人存在利害关系影响招标公正性的；</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2</w:t>
      </w:r>
      <w:r>
        <w:rPr>
          <w:rFonts w:hint="eastAsia" w:hAnsi="宋体" w:cs="宋体"/>
          <w:color w:val="000000"/>
          <w:sz w:val="24"/>
          <w:szCs w:val="24"/>
        </w:rPr>
        <w:t>）法定代表人为同一人或者存在控股、管理关系的不同单位，参加同一标段投标的，共同组成联合体投标的除外。</w:t>
      </w:r>
    </w:p>
    <w:p>
      <w:pPr>
        <w:pStyle w:val="7"/>
        <w:keepNext w:val="0"/>
        <w:keepLines w:val="0"/>
        <w:spacing w:after="0" w:line="480" w:lineRule="exact"/>
        <w:ind w:firstLine="482" w:firstLineChars="200"/>
        <w:jc w:val="both"/>
        <w:rPr>
          <w:rFonts w:ascii="仿宋_GB2312" w:cs="宋体"/>
          <w:color w:val="000000"/>
        </w:rPr>
      </w:pPr>
      <w:bookmarkStart w:id="57" w:name="_Toc28864"/>
      <w:bookmarkStart w:id="58" w:name="_Toc18603041"/>
      <w:r>
        <w:rPr>
          <w:rFonts w:ascii="仿宋_GB2312" w:cs="宋体"/>
          <w:color w:val="000000"/>
        </w:rPr>
        <w:t xml:space="preserve">1.5 </w:t>
      </w:r>
      <w:r>
        <w:rPr>
          <w:rFonts w:hint="eastAsia" w:ascii="仿宋_GB2312" w:cs="宋体"/>
          <w:color w:val="000000"/>
        </w:rPr>
        <w:t>费用承担</w:t>
      </w:r>
      <w:bookmarkEnd w:id="57"/>
      <w:bookmarkEnd w:id="58"/>
    </w:p>
    <w:p>
      <w:pPr>
        <w:spacing w:line="480" w:lineRule="exact"/>
        <w:ind w:firstLine="480" w:firstLineChars="200"/>
        <w:rPr>
          <w:rFonts w:hAnsi="宋体" w:cs="宋体"/>
          <w:color w:val="000000"/>
          <w:sz w:val="24"/>
          <w:szCs w:val="24"/>
        </w:rPr>
      </w:pPr>
      <w:r>
        <w:rPr>
          <w:rFonts w:hint="eastAsia" w:hAnsi="宋体" w:cs="宋体"/>
          <w:color w:val="000000"/>
          <w:sz w:val="24"/>
          <w:szCs w:val="24"/>
        </w:rPr>
        <w:t>投标人准备和参加投标活动发生的费用自理。</w:t>
      </w:r>
    </w:p>
    <w:p>
      <w:pPr>
        <w:pStyle w:val="2"/>
        <w:ind w:left="0" w:leftChars="0" w:firstLine="0" w:firstLineChars="0"/>
      </w:pPr>
    </w:p>
    <w:p>
      <w:pPr>
        <w:pStyle w:val="7"/>
        <w:keepNext w:val="0"/>
        <w:keepLines w:val="0"/>
        <w:spacing w:after="0" w:line="480" w:lineRule="exact"/>
        <w:ind w:firstLine="482" w:firstLineChars="200"/>
        <w:jc w:val="both"/>
        <w:rPr>
          <w:rFonts w:ascii="仿宋_GB2312" w:cs="宋体"/>
          <w:color w:val="000000"/>
        </w:rPr>
      </w:pPr>
      <w:bookmarkStart w:id="59" w:name="_Toc9414"/>
      <w:bookmarkStart w:id="60" w:name="_Toc18603042"/>
      <w:r>
        <w:rPr>
          <w:rFonts w:ascii="仿宋_GB2312" w:cs="宋体"/>
          <w:color w:val="000000"/>
        </w:rPr>
        <w:t xml:space="preserve">1.6 </w:t>
      </w:r>
      <w:r>
        <w:rPr>
          <w:rFonts w:hint="eastAsia" w:ascii="仿宋_GB2312" w:cs="宋体"/>
          <w:color w:val="000000"/>
        </w:rPr>
        <w:t>保密</w:t>
      </w:r>
      <w:bookmarkEnd w:id="59"/>
      <w:bookmarkEnd w:id="60"/>
    </w:p>
    <w:p>
      <w:pPr>
        <w:spacing w:line="480" w:lineRule="exact"/>
        <w:ind w:firstLine="480" w:firstLineChars="200"/>
        <w:rPr>
          <w:rFonts w:hAnsi="宋体" w:cs="宋体"/>
          <w:color w:val="000000"/>
          <w:sz w:val="24"/>
          <w:szCs w:val="24"/>
        </w:rPr>
      </w:pPr>
      <w:r>
        <w:rPr>
          <w:rFonts w:hint="eastAsia" w:hAnsi="宋体" w:cs="宋体"/>
          <w:color w:val="000000"/>
          <w:sz w:val="24"/>
          <w:szCs w:val="24"/>
        </w:rPr>
        <w:t>参与招标投标活动的各方应对招标文件和投标文件中的商业和技术等秘密保密，违者应对由此造成的后果承担法律责任。</w:t>
      </w:r>
      <w:r>
        <w:rPr>
          <w:rFonts w:hAnsi="宋体" w:cs="宋体"/>
          <w:color w:val="000000"/>
          <w:sz w:val="24"/>
          <w:szCs w:val="24"/>
        </w:rPr>
        <w:t xml:space="preserve"> </w:t>
      </w:r>
    </w:p>
    <w:p>
      <w:pPr>
        <w:pStyle w:val="7"/>
        <w:keepNext w:val="0"/>
        <w:keepLines w:val="0"/>
        <w:spacing w:after="0" w:line="480" w:lineRule="exact"/>
        <w:ind w:firstLine="482" w:firstLineChars="200"/>
        <w:jc w:val="both"/>
        <w:rPr>
          <w:rFonts w:ascii="仿宋_GB2312" w:cs="宋体"/>
          <w:color w:val="000000"/>
        </w:rPr>
      </w:pPr>
      <w:bookmarkStart w:id="61" w:name="_Toc30742"/>
      <w:bookmarkStart w:id="62" w:name="_Toc18603043"/>
      <w:r>
        <w:rPr>
          <w:rFonts w:ascii="仿宋_GB2312" w:cs="宋体"/>
          <w:color w:val="000000"/>
        </w:rPr>
        <w:t xml:space="preserve">1.7 </w:t>
      </w:r>
      <w:r>
        <w:rPr>
          <w:rFonts w:hint="eastAsia" w:ascii="仿宋_GB2312" w:cs="宋体"/>
          <w:color w:val="000000"/>
        </w:rPr>
        <w:t>语言文字</w:t>
      </w:r>
      <w:bookmarkEnd w:id="61"/>
      <w:bookmarkEnd w:id="62"/>
    </w:p>
    <w:p>
      <w:pPr>
        <w:spacing w:line="480" w:lineRule="exact"/>
        <w:ind w:firstLine="480" w:firstLineChars="200"/>
        <w:rPr>
          <w:rFonts w:hAnsi="宋体" w:cs="宋体"/>
          <w:color w:val="000000"/>
          <w:sz w:val="24"/>
          <w:szCs w:val="24"/>
        </w:rPr>
      </w:pPr>
      <w:r>
        <w:rPr>
          <w:rFonts w:hint="eastAsia" w:hAnsi="宋体" w:cs="宋体"/>
          <w:color w:val="000000"/>
          <w:sz w:val="24"/>
          <w:szCs w:val="24"/>
        </w:rPr>
        <w:t>除专用术语外，与招标投标有关的语言均使用中文，必要时专用术语应附有中文注释。</w:t>
      </w:r>
    </w:p>
    <w:p>
      <w:pPr>
        <w:pStyle w:val="7"/>
        <w:keepNext w:val="0"/>
        <w:keepLines w:val="0"/>
        <w:spacing w:after="0" w:line="480" w:lineRule="exact"/>
        <w:ind w:firstLine="482" w:firstLineChars="200"/>
        <w:jc w:val="both"/>
        <w:rPr>
          <w:rFonts w:ascii="仿宋_GB2312" w:cs="宋体"/>
          <w:color w:val="000000"/>
        </w:rPr>
      </w:pPr>
      <w:bookmarkStart w:id="63" w:name="_Toc18603044"/>
      <w:bookmarkStart w:id="64" w:name="_Toc10348"/>
      <w:r>
        <w:rPr>
          <w:rFonts w:ascii="仿宋_GB2312" w:cs="宋体"/>
          <w:color w:val="000000"/>
        </w:rPr>
        <w:t xml:space="preserve">1.8 </w:t>
      </w:r>
      <w:r>
        <w:rPr>
          <w:rFonts w:hint="eastAsia" w:ascii="仿宋_GB2312" w:cs="宋体"/>
          <w:color w:val="000000"/>
        </w:rPr>
        <w:t>计量单位</w:t>
      </w:r>
      <w:bookmarkEnd w:id="63"/>
      <w:bookmarkEnd w:id="64"/>
    </w:p>
    <w:p>
      <w:pPr>
        <w:spacing w:line="480" w:lineRule="exact"/>
        <w:ind w:firstLine="480" w:firstLineChars="200"/>
        <w:rPr>
          <w:rFonts w:hAnsi="宋体" w:cs="宋体"/>
          <w:color w:val="000000"/>
          <w:sz w:val="24"/>
          <w:szCs w:val="24"/>
        </w:rPr>
      </w:pPr>
      <w:r>
        <w:rPr>
          <w:rFonts w:hint="eastAsia" w:hAnsi="宋体" w:cs="宋体"/>
          <w:color w:val="000000"/>
          <w:sz w:val="24"/>
          <w:szCs w:val="24"/>
        </w:rPr>
        <w:t>所有计量均采用中华人民共和国法定计量单位。</w:t>
      </w:r>
    </w:p>
    <w:p>
      <w:pPr>
        <w:pStyle w:val="7"/>
        <w:keepNext w:val="0"/>
        <w:keepLines w:val="0"/>
        <w:spacing w:after="0" w:line="480" w:lineRule="exact"/>
        <w:ind w:firstLine="482" w:firstLineChars="200"/>
        <w:jc w:val="both"/>
        <w:rPr>
          <w:rFonts w:ascii="仿宋_GB2312" w:cs="宋体"/>
          <w:color w:val="000000"/>
        </w:rPr>
      </w:pPr>
      <w:bookmarkStart w:id="65" w:name="_Toc18603045"/>
      <w:bookmarkStart w:id="66" w:name="_Toc28489"/>
      <w:r>
        <w:rPr>
          <w:rFonts w:ascii="仿宋_GB2312" w:cs="宋体"/>
          <w:color w:val="000000"/>
        </w:rPr>
        <w:t xml:space="preserve">1.9 </w:t>
      </w:r>
      <w:r>
        <w:rPr>
          <w:rFonts w:hint="eastAsia" w:ascii="仿宋_GB2312" w:cs="宋体"/>
          <w:color w:val="000000"/>
        </w:rPr>
        <w:t>踏勘现场</w:t>
      </w:r>
      <w:bookmarkEnd w:id="65"/>
      <w:bookmarkEnd w:id="66"/>
    </w:p>
    <w:p>
      <w:pPr>
        <w:spacing w:line="480" w:lineRule="exact"/>
        <w:ind w:firstLine="480" w:firstLineChars="200"/>
        <w:rPr>
          <w:rFonts w:hAnsi="宋体" w:cs="宋体"/>
          <w:color w:val="000000"/>
          <w:sz w:val="24"/>
          <w:szCs w:val="24"/>
        </w:rPr>
      </w:pPr>
      <w:r>
        <w:rPr>
          <w:rFonts w:hAnsi="宋体" w:cs="宋体"/>
          <w:color w:val="000000"/>
          <w:sz w:val="24"/>
          <w:szCs w:val="24"/>
        </w:rPr>
        <w:t xml:space="preserve">1.9.1 </w:t>
      </w:r>
      <w:r>
        <w:rPr>
          <w:rFonts w:hint="eastAsia" w:hAnsi="宋体" w:cs="宋体"/>
          <w:color w:val="000000"/>
          <w:sz w:val="24"/>
          <w:szCs w:val="24"/>
        </w:rPr>
        <w:t>投标人须知前附表规定组织踏勘现场的，招标人按投标人须知前附表规定的时间、地点组织投标人踏勘项目现场。</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1.9.2 </w:t>
      </w:r>
      <w:r>
        <w:rPr>
          <w:rFonts w:hint="eastAsia" w:hAnsi="宋体" w:cs="宋体"/>
          <w:color w:val="000000"/>
          <w:sz w:val="24"/>
          <w:szCs w:val="24"/>
        </w:rPr>
        <w:t>投标人踏勘现场发生的费用自理。</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1.9.3 </w:t>
      </w:r>
      <w:r>
        <w:rPr>
          <w:rFonts w:hint="eastAsia" w:hAnsi="宋体" w:cs="宋体"/>
          <w:color w:val="000000"/>
          <w:sz w:val="24"/>
          <w:szCs w:val="24"/>
        </w:rPr>
        <w:t>除招标人的原因外，投标人自行负责在踏勘现场中所发生的人员伤亡和财产损失。</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1.9.4 </w:t>
      </w:r>
      <w:r>
        <w:rPr>
          <w:rFonts w:hint="eastAsia" w:hAnsi="宋体" w:cs="宋体"/>
          <w:color w:val="000000"/>
          <w:sz w:val="24"/>
          <w:szCs w:val="24"/>
        </w:rPr>
        <w:t>招标人在踏勘现场中介绍的工程场地和相关的周边环境情况，供投标人在编制投标文件时参考，招标人不对投标人据此作出的判断和决策负责。</w:t>
      </w:r>
    </w:p>
    <w:p>
      <w:pPr>
        <w:pStyle w:val="7"/>
        <w:keepNext w:val="0"/>
        <w:keepLines w:val="0"/>
        <w:spacing w:after="0" w:line="480" w:lineRule="exact"/>
        <w:ind w:firstLine="482" w:firstLineChars="200"/>
        <w:jc w:val="both"/>
        <w:rPr>
          <w:rFonts w:ascii="仿宋_GB2312" w:cs="宋体"/>
          <w:color w:val="000000"/>
        </w:rPr>
      </w:pPr>
      <w:bookmarkStart w:id="67" w:name="_Toc20230"/>
      <w:bookmarkStart w:id="68" w:name="_Toc18603046"/>
      <w:r>
        <w:rPr>
          <w:rFonts w:ascii="仿宋_GB2312" w:cs="宋体"/>
          <w:color w:val="000000"/>
        </w:rPr>
        <w:t xml:space="preserve">1.10 </w:t>
      </w:r>
      <w:r>
        <w:rPr>
          <w:rFonts w:hint="eastAsia" w:ascii="仿宋_GB2312" w:cs="宋体"/>
          <w:color w:val="000000"/>
        </w:rPr>
        <w:t>投标预备会</w:t>
      </w:r>
      <w:bookmarkEnd w:id="67"/>
      <w:bookmarkEnd w:id="68"/>
    </w:p>
    <w:p>
      <w:pPr>
        <w:spacing w:line="480" w:lineRule="exact"/>
        <w:ind w:firstLine="480" w:firstLineChars="200"/>
        <w:rPr>
          <w:rFonts w:hAnsi="宋体" w:cs="宋体"/>
          <w:color w:val="000000"/>
          <w:sz w:val="24"/>
          <w:szCs w:val="24"/>
        </w:rPr>
      </w:pPr>
      <w:r>
        <w:rPr>
          <w:rFonts w:hAnsi="宋体" w:cs="宋体"/>
          <w:color w:val="000000"/>
          <w:sz w:val="24"/>
          <w:szCs w:val="24"/>
        </w:rPr>
        <w:t xml:space="preserve">1.10.1 </w:t>
      </w:r>
      <w:r>
        <w:rPr>
          <w:rFonts w:hint="eastAsia" w:hAnsi="宋体" w:cs="宋体"/>
          <w:color w:val="000000"/>
          <w:sz w:val="24"/>
          <w:szCs w:val="24"/>
        </w:rPr>
        <w:t>投标人须知前附表规定召开投标预备会的，招标人按照投标人须知前附表规定的时间和地点召开投标预备会，澄清投标人提出的问题。</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1.10.2 </w:t>
      </w:r>
      <w:r>
        <w:rPr>
          <w:rFonts w:hint="eastAsia" w:hAnsi="宋体" w:cs="宋体"/>
          <w:color w:val="000000"/>
          <w:sz w:val="24"/>
          <w:szCs w:val="24"/>
        </w:rPr>
        <w:t>投标预备会后，招标人按投标人须知表</w:t>
      </w:r>
      <w:r>
        <w:rPr>
          <w:rFonts w:hAnsi="宋体" w:cs="宋体"/>
          <w:color w:val="000000"/>
          <w:sz w:val="24"/>
          <w:szCs w:val="24"/>
        </w:rPr>
        <w:t>2.2</w:t>
      </w:r>
      <w:r>
        <w:rPr>
          <w:rFonts w:hint="eastAsia" w:hAnsi="宋体" w:cs="宋体"/>
          <w:color w:val="000000"/>
          <w:sz w:val="24"/>
          <w:szCs w:val="24"/>
        </w:rPr>
        <w:t>项规定的时间和方式发布澄清或修改文件。</w:t>
      </w:r>
    </w:p>
    <w:p>
      <w:pPr>
        <w:pStyle w:val="7"/>
        <w:keepNext w:val="0"/>
        <w:keepLines w:val="0"/>
        <w:spacing w:after="0" w:line="480" w:lineRule="exact"/>
        <w:ind w:firstLine="482" w:firstLineChars="200"/>
        <w:jc w:val="both"/>
        <w:rPr>
          <w:rFonts w:ascii="仿宋_GB2312" w:cs="宋体"/>
          <w:color w:val="000000"/>
        </w:rPr>
      </w:pPr>
      <w:bookmarkStart w:id="69" w:name="_Toc18603047"/>
      <w:bookmarkStart w:id="70" w:name="_Toc7937"/>
      <w:r>
        <w:rPr>
          <w:rFonts w:ascii="仿宋_GB2312" w:cs="宋体"/>
          <w:color w:val="000000"/>
        </w:rPr>
        <w:t xml:space="preserve">1.11 </w:t>
      </w:r>
      <w:r>
        <w:rPr>
          <w:rFonts w:hint="eastAsia" w:ascii="仿宋_GB2312" w:cs="宋体"/>
          <w:color w:val="000000"/>
        </w:rPr>
        <w:t>分包</w:t>
      </w:r>
      <w:bookmarkEnd w:id="69"/>
      <w:bookmarkEnd w:id="70"/>
    </w:p>
    <w:p>
      <w:pPr>
        <w:spacing w:line="480" w:lineRule="exact"/>
        <w:ind w:firstLine="480" w:firstLineChars="200"/>
        <w:rPr>
          <w:rFonts w:hAnsi="宋体" w:cs="宋体"/>
          <w:color w:val="000000"/>
          <w:sz w:val="24"/>
          <w:szCs w:val="24"/>
        </w:rPr>
      </w:pPr>
      <w:r>
        <w:rPr>
          <w:rFonts w:hint="eastAsia" w:hAnsi="宋体" w:cs="宋体"/>
          <w:color w:val="000000"/>
          <w:sz w:val="24"/>
          <w:szCs w:val="24"/>
        </w:rPr>
        <w:t>在投标人须知前附表规定允许分包的，分包的内容，分包金额，接受分包的第三人资质要求见投标人须知前附表。具体条款详见合同“合同专用”条款。</w:t>
      </w:r>
    </w:p>
    <w:p>
      <w:pPr>
        <w:pStyle w:val="7"/>
        <w:keepNext w:val="0"/>
        <w:keepLines w:val="0"/>
        <w:spacing w:after="0" w:line="480" w:lineRule="exact"/>
        <w:ind w:firstLine="482" w:firstLineChars="200"/>
        <w:jc w:val="both"/>
        <w:rPr>
          <w:rFonts w:ascii="仿宋_GB2312" w:cs="宋体"/>
          <w:color w:val="000000"/>
        </w:rPr>
      </w:pPr>
      <w:bookmarkStart w:id="71" w:name="_Toc18603048"/>
      <w:bookmarkStart w:id="72" w:name="_Toc31984"/>
      <w:r>
        <w:rPr>
          <w:rFonts w:ascii="仿宋_GB2312" w:cs="宋体"/>
          <w:color w:val="000000"/>
        </w:rPr>
        <w:t xml:space="preserve">1.12 </w:t>
      </w:r>
      <w:r>
        <w:rPr>
          <w:rFonts w:hint="eastAsia" w:ascii="仿宋_GB2312" w:cs="宋体"/>
          <w:color w:val="000000"/>
        </w:rPr>
        <w:t>偏离</w:t>
      </w:r>
      <w:bookmarkEnd w:id="71"/>
      <w:bookmarkEnd w:id="72"/>
    </w:p>
    <w:p>
      <w:pPr>
        <w:spacing w:line="480" w:lineRule="exact"/>
        <w:ind w:firstLine="480" w:firstLineChars="200"/>
        <w:rPr>
          <w:rFonts w:hAnsi="宋体" w:cs="宋体"/>
          <w:color w:val="000000"/>
          <w:sz w:val="24"/>
          <w:szCs w:val="24"/>
        </w:rPr>
      </w:pPr>
      <w:r>
        <w:rPr>
          <w:rFonts w:hint="eastAsia" w:hAnsi="宋体" w:cs="宋体"/>
          <w:color w:val="000000"/>
          <w:sz w:val="24"/>
          <w:szCs w:val="24"/>
        </w:rPr>
        <w:t>本项目不允许偏离。</w:t>
      </w:r>
    </w:p>
    <w:p>
      <w:pPr>
        <w:pStyle w:val="6"/>
        <w:spacing w:line="480" w:lineRule="exact"/>
        <w:ind w:firstLine="482" w:firstLineChars="200"/>
        <w:jc w:val="both"/>
        <w:rPr>
          <w:rFonts w:ascii="仿宋_GB2312" w:cs="宋体"/>
          <w:color w:val="000000"/>
          <w:sz w:val="24"/>
          <w:szCs w:val="24"/>
        </w:rPr>
      </w:pPr>
      <w:bookmarkStart w:id="73" w:name="_Toc26419"/>
      <w:bookmarkStart w:id="74" w:name="_Toc2379"/>
      <w:bookmarkStart w:id="75" w:name="_Toc522293507"/>
      <w:r>
        <w:rPr>
          <w:rFonts w:ascii="仿宋_GB2312" w:cs="宋体"/>
          <w:color w:val="000000"/>
          <w:sz w:val="24"/>
          <w:szCs w:val="24"/>
        </w:rPr>
        <w:t xml:space="preserve">2. </w:t>
      </w:r>
      <w:r>
        <w:rPr>
          <w:rFonts w:hint="eastAsia" w:ascii="仿宋_GB2312" w:cs="宋体"/>
          <w:color w:val="000000"/>
          <w:sz w:val="24"/>
          <w:szCs w:val="24"/>
        </w:rPr>
        <w:t>招标文件</w:t>
      </w:r>
      <w:bookmarkEnd w:id="73"/>
      <w:bookmarkEnd w:id="74"/>
      <w:bookmarkEnd w:id="75"/>
    </w:p>
    <w:p>
      <w:pPr>
        <w:pStyle w:val="7"/>
        <w:keepNext w:val="0"/>
        <w:keepLines w:val="0"/>
        <w:spacing w:after="0" w:line="480" w:lineRule="exact"/>
        <w:ind w:firstLine="482" w:firstLineChars="200"/>
        <w:jc w:val="both"/>
        <w:rPr>
          <w:rFonts w:ascii="仿宋_GB2312" w:cs="宋体"/>
          <w:color w:val="000000"/>
        </w:rPr>
      </w:pPr>
      <w:bookmarkStart w:id="76" w:name="_Toc4904"/>
      <w:bookmarkStart w:id="77" w:name="_Toc18603050"/>
      <w:r>
        <w:rPr>
          <w:rFonts w:ascii="仿宋_GB2312" w:cs="宋体"/>
          <w:color w:val="000000"/>
        </w:rPr>
        <w:t xml:space="preserve">2.1 </w:t>
      </w:r>
      <w:r>
        <w:rPr>
          <w:rFonts w:hint="eastAsia" w:ascii="仿宋_GB2312" w:cs="宋体"/>
          <w:color w:val="000000"/>
        </w:rPr>
        <w:t>招标文件的组成</w:t>
      </w:r>
      <w:bookmarkEnd w:id="76"/>
      <w:bookmarkEnd w:id="77"/>
    </w:p>
    <w:p>
      <w:pPr>
        <w:spacing w:line="480" w:lineRule="exact"/>
        <w:ind w:firstLine="480" w:firstLineChars="200"/>
        <w:rPr>
          <w:rFonts w:hAnsi="宋体" w:cs="宋体"/>
          <w:color w:val="000000"/>
          <w:sz w:val="24"/>
          <w:szCs w:val="24"/>
        </w:rPr>
      </w:pPr>
      <w:r>
        <w:rPr>
          <w:rFonts w:hint="eastAsia" w:hAnsi="宋体" w:cs="宋体"/>
          <w:color w:val="000000"/>
          <w:sz w:val="24"/>
          <w:szCs w:val="24"/>
        </w:rPr>
        <w:t>本招标文件包括：</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1</w:t>
      </w:r>
      <w:r>
        <w:rPr>
          <w:rFonts w:hint="eastAsia" w:hAnsi="宋体" w:cs="宋体"/>
          <w:color w:val="000000"/>
          <w:sz w:val="24"/>
          <w:szCs w:val="24"/>
        </w:rPr>
        <w:t>）招标公告；</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2</w:t>
      </w:r>
      <w:r>
        <w:rPr>
          <w:rFonts w:hint="eastAsia" w:hAnsi="宋体" w:cs="宋体"/>
          <w:color w:val="000000"/>
          <w:sz w:val="24"/>
          <w:szCs w:val="24"/>
        </w:rPr>
        <w:t>）投标人须知；</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3</w:t>
      </w:r>
      <w:r>
        <w:rPr>
          <w:rFonts w:hint="eastAsia" w:hAnsi="宋体" w:cs="宋体"/>
          <w:color w:val="000000"/>
          <w:sz w:val="24"/>
          <w:szCs w:val="24"/>
        </w:rPr>
        <w:t>）评标办法；</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4</w:t>
      </w:r>
      <w:r>
        <w:rPr>
          <w:rFonts w:hint="eastAsia" w:hAnsi="宋体" w:cs="宋体"/>
          <w:color w:val="000000"/>
          <w:sz w:val="24"/>
          <w:szCs w:val="24"/>
        </w:rPr>
        <w:t>）合同条款及格式；</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5</w:t>
      </w:r>
      <w:r>
        <w:rPr>
          <w:rFonts w:hint="eastAsia" w:hAnsi="宋体" w:cs="宋体"/>
          <w:color w:val="000000"/>
          <w:sz w:val="24"/>
          <w:szCs w:val="24"/>
        </w:rPr>
        <w:t>）商务及技术要求；</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6</w:t>
      </w:r>
      <w:r>
        <w:rPr>
          <w:rFonts w:hint="eastAsia" w:hAnsi="宋体" w:cs="宋体"/>
          <w:color w:val="000000"/>
          <w:sz w:val="24"/>
          <w:szCs w:val="24"/>
        </w:rPr>
        <w:t>）相关技术资料；</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7</w:t>
      </w:r>
      <w:r>
        <w:rPr>
          <w:rFonts w:hint="eastAsia" w:hAnsi="宋体" w:cs="宋体"/>
          <w:color w:val="000000"/>
          <w:sz w:val="24"/>
          <w:szCs w:val="24"/>
        </w:rPr>
        <w:t>）投标文件格式；</w:t>
      </w:r>
    </w:p>
    <w:p>
      <w:pPr>
        <w:spacing w:line="480" w:lineRule="exact"/>
        <w:ind w:firstLine="480" w:firstLineChars="200"/>
        <w:rPr>
          <w:rFonts w:hAnsi="宋体" w:cs="宋体"/>
          <w:color w:val="000000"/>
          <w:sz w:val="24"/>
          <w:szCs w:val="24"/>
        </w:rPr>
      </w:pPr>
      <w:r>
        <w:rPr>
          <w:rFonts w:hint="eastAsia" w:hAnsi="宋体" w:cs="宋体"/>
          <w:color w:val="000000"/>
          <w:sz w:val="24"/>
          <w:szCs w:val="24"/>
        </w:rPr>
        <w:t>根据本章第</w:t>
      </w:r>
      <w:r>
        <w:rPr>
          <w:rFonts w:hAnsi="宋体" w:cs="宋体"/>
          <w:color w:val="000000"/>
          <w:sz w:val="24"/>
          <w:szCs w:val="24"/>
        </w:rPr>
        <w:t>1.10</w:t>
      </w:r>
      <w:r>
        <w:rPr>
          <w:rFonts w:hint="eastAsia" w:hAnsi="宋体" w:cs="宋体"/>
          <w:color w:val="000000"/>
          <w:sz w:val="24"/>
          <w:szCs w:val="24"/>
        </w:rPr>
        <w:t>款和第</w:t>
      </w:r>
      <w:r>
        <w:rPr>
          <w:rFonts w:hAnsi="宋体" w:cs="宋体"/>
          <w:color w:val="000000"/>
          <w:sz w:val="24"/>
          <w:szCs w:val="24"/>
        </w:rPr>
        <w:t>2.2</w:t>
      </w:r>
      <w:r>
        <w:rPr>
          <w:rFonts w:hint="eastAsia" w:hAnsi="宋体" w:cs="宋体"/>
          <w:color w:val="000000"/>
          <w:sz w:val="24"/>
          <w:szCs w:val="24"/>
        </w:rPr>
        <w:t>款对招标文件所作的澄清、修改，构成招标文件的组成部分。</w:t>
      </w:r>
    </w:p>
    <w:p>
      <w:pPr>
        <w:pStyle w:val="7"/>
        <w:keepNext w:val="0"/>
        <w:keepLines w:val="0"/>
        <w:spacing w:after="0" w:line="480" w:lineRule="exact"/>
        <w:ind w:firstLine="482" w:firstLineChars="200"/>
        <w:jc w:val="both"/>
        <w:rPr>
          <w:rFonts w:ascii="仿宋_GB2312" w:cs="宋体"/>
          <w:color w:val="000000"/>
        </w:rPr>
      </w:pPr>
      <w:bookmarkStart w:id="78" w:name="_Toc18603051"/>
      <w:bookmarkStart w:id="79" w:name="_Toc10817"/>
      <w:r>
        <w:rPr>
          <w:rFonts w:ascii="仿宋_GB2312" w:cs="宋体"/>
          <w:color w:val="000000"/>
        </w:rPr>
        <w:t xml:space="preserve">2.2 </w:t>
      </w:r>
      <w:r>
        <w:rPr>
          <w:rFonts w:hint="eastAsia" w:ascii="仿宋_GB2312" w:cs="宋体"/>
          <w:color w:val="000000"/>
        </w:rPr>
        <w:t>招标文件的澄清和修改</w:t>
      </w:r>
      <w:bookmarkEnd w:id="78"/>
      <w:bookmarkEnd w:id="79"/>
    </w:p>
    <w:p>
      <w:pPr>
        <w:spacing w:line="480" w:lineRule="exact"/>
        <w:ind w:firstLine="480" w:firstLineChars="200"/>
        <w:rPr>
          <w:rFonts w:hAnsi="宋体" w:cs="宋体"/>
          <w:color w:val="000000"/>
          <w:sz w:val="24"/>
          <w:szCs w:val="24"/>
        </w:rPr>
      </w:pPr>
      <w:r>
        <w:rPr>
          <w:rFonts w:hAnsi="宋体" w:cs="宋体"/>
          <w:color w:val="000000"/>
          <w:sz w:val="24"/>
          <w:szCs w:val="24"/>
        </w:rPr>
        <w:t xml:space="preserve">2.2.1 </w:t>
      </w:r>
      <w:r>
        <w:rPr>
          <w:rFonts w:hint="eastAsia" w:hAnsi="宋体" w:cs="宋体"/>
          <w:color w:val="000000"/>
          <w:sz w:val="24"/>
          <w:szCs w:val="24"/>
        </w:rPr>
        <w:t>投标人应仔细阅读和检查招标文件的全部内容。如有疑问，应在申请人须知前附表第</w:t>
      </w:r>
      <w:r>
        <w:rPr>
          <w:rFonts w:hAnsi="宋体" w:cs="宋体"/>
          <w:color w:val="000000"/>
          <w:sz w:val="24"/>
          <w:szCs w:val="24"/>
        </w:rPr>
        <w:t>2.2</w:t>
      </w:r>
      <w:r>
        <w:rPr>
          <w:rFonts w:hint="eastAsia" w:hAnsi="宋体" w:cs="宋体"/>
          <w:color w:val="000000"/>
          <w:sz w:val="24"/>
          <w:szCs w:val="24"/>
        </w:rPr>
        <w:t>项规定的提问截止时间前提问，要求招标机构对招标文件予以澄清。</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2.2.2 </w:t>
      </w:r>
      <w:r>
        <w:rPr>
          <w:rFonts w:hint="eastAsia" w:hAnsi="宋体" w:cs="宋体"/>
          <w:color w:val="000000"/>
          <w:sz w:val="24"/>
          <w:szCs w:val="24"/>
        </w:rPr>
        <w:t>无论是招标机构根据需要主动对招标文件进行必要的澄清或修改，或是根据投标人的要求对招标文件做出澄清或修改，澄清或修改的内容可能影响投标文件编制的，招标机构应于投标人须知表</w:t>
      </w:r>
      <w:r>
        <w:rPr>
          <w:rFonts w:hAnsi="宋体" w:cs="宋体"/>
          <w:color w:val="000000"/>
          <w:sz w:val="24"/>
          <w:szCs w:val="24"/>
        </w:rPr>
        <w:t>4.2.1</w:t>
      </w:r>
      <w:r>
        <w:rPr>
          <w:rFonts w:hint="eastAsia" w:hAnsi="宋体" w:cs="宋体"/>
          <w:color w:val="000000"/>
          <w:sz w:val="24"/>
          <w:szCs w:val="24"/>
        </w:rPr>
        <w:t>项规定的投标截止时间</w:t>
      </w:r>
      <w:r>
        <w:rPr>
          <w:rFonts w:hAnsi="宋体" w:cs="宋体"/>
          <w:color w:val="000000"/>
          <w:sz w:val="24"/>
          <w:szCs w:val="24"/>
        </w:rPr>
        <w:t>15</w:t>
      </w:r>
      <w:r>
        <w:rPr>
          <w:rFonts w:hint="eastAsia" w:hAnsi="宋体" w:cs="宋体"/>
          <w:color w:val="000000"/>
          <w:sz w:val="24"/>
          <w:szCs w:val="24"/>
        </w:rPr>
        <w:t>日前发布。</w:t>
      </w:r>
    </w:p>
    <w:p>
      <w:pPr>
        <w:spacing w:line="480" w:lineRule="exact"/>
        <w:ind w:firstLine="480" w:firstLineChars="200"/>
        <w:rPr>
          <w:rFonts w:hAnsi="宋体" w:cs="宋体"/>
          <w:color w:val="000000"/>
          <w:sz w:val="24"/>
          <w:szCs w:val="24"/>
        </w:rPr>
      </w:pPr>
      <w:r>
        <w:rPr>
          <w:rFonts w:hint="eastAsia" w:hAnsi="宋体" w:cs="宋体"/>
          <w:color w:val="000000"/>
          <w:sz w:val="24"/>
          <w:szCs w:val="24"/>
        </w:rPr>
        <w:t>澄清或修改通知发出的时间距投标人须知前附表第</w:t>
      </w:r>
      <w:r>
        <w:rPr>
          <w:rFonts w:hAnsi="宋体" w:cs="宋体"/>
          <w:color w:val="000000"/>
          <w:sz w:val="24"/>
          <w:szCs w:val="24"/>
        </w:rPr>
        <w:t>4.2.1</w:t>
      </w:r>
      <w:r>
        <w:rPr>
          <w:rFonts w:hint="eastAsia" w:hAnsi="宋体" w:cs="宋体"/>
          <w:color w:val="000000"/>
          <w:sz w:val="24"/>
          <w:szCs w:val="24"/>
        </w:rPr>
        <w:t>项规定的投标截止时间不足</w:t>
      </w:r>
      <w:r>
        <w:rPr>
          <w:rFonts w:hAnsi="宋体" w:cs="宋体"/>
          <w:color w:val="000000"/>
          <w:sz w:val="24"/>
          <w:szCs w:val="24"/>
        </w:rPr>
        <w:t>15</w:t>
      </w:r>
      <w:r>
        <w:rPr>
          <w:rFonts w:hint="eastAsia" w:hAnsi="宋体" w:cs="宋体"/>
          <w:color w:val="000000"/>
          <w:sz w:val="24"/>
          <w:szCs w:val="24"/>
        </w:rPr>
        <w:t>日，并且澄清或修改的内容影响投标文件编制的，相应延长投标截止时间。</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2.2.3 </w:t>
      </w:r>
      <w:r>
        <w:rPr>
          <w:rFonts w:hint="eastAsia" w:hAnsi="宋体" w:cs="宋体"/>
          <w:color w:val="000000"/>
          <w:sz w:val="24"/>
          <w:szCs w:val="24"/>
        </w:rPr>
        <w:t>澄清或修改文件作为招标文件的组成部分，对投标人起同等约束作用。投标人应注意及时浏览项目发布的澄清和修改通知，因投标人原因未及时获知澄清、修改内容而导致的任何后果将由投标人自行承担。</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2.2.4 </w:t>
      </w:r>
      <w:r>
        <w:rPr>
          <w:rFonts w:hint="eastAsia" w:hAnsi="宋体" w:cs="宋体"/>
          <w:color w:val="000000"/>
          <w:sz w:val="24"/>
          <w:szCs w:val="24"/>
        </w:rPr>
        <w:t>任何口头上的澄清、修改一律视为无效。当招标文件、澄清或修改内容相互矛盾时，以最后发出的文件为准。</w:t>
      </w:r>
    </w:p>
    <w:p>
      <w:pPr>
        <w:pStyle w:val="2"/>
        <w:ind w:left="0" w:leftChars="0" w:firstLine="0" w:firstLineChars="0"/>
      </w:pPr>
    </w:p>
    <w:p>
      <w:pPr>
        <w:pStyle w:val="7"/>
        <w:keepNext w:val="0"/>
        <w:keepLines w:val="0"/>
        <w:spacing w:after="0" w:line="480" w:lineRule="exact"/>
        <w:ind w:firstLine="482" w:firstLineChars="200"/>
        <w:jc w:val="both"/>
        <w:rPr>
          <w:rFonts w:ascii="仿宋_GB2312" w:cs="宋体"/>
          <w:color w:val="000000"/>
        </w:rPr>
      </w:pPr>
      <w:bookmarkStart w:id="80" w:name="_Toc18603052"/>
      <w:bookmarkStart w:id="81" w:name="_Toc17019"/>
      <w:r>
        <w:rPr>
          <w:rFonts w:ascii="仿宋_GB2312" w:cs="宋体"/>
          <w:color w:val="000000"/>
        </w:rPr>
        <w:t xml:space="preserve">2.3 </w:t>
      </w:r>
      <w:r>
        <w:rPr>
          <w:rFonts w:hint="eastAsia" w:ascii="仿宋_GB2312" w:cs="宋体"/>
          <w:color w:val="000000"/>
        </w:rPr>
        <w:t>对招标文件的异议</w:t>
      </w:r>
      <w:bookmarkEnd w:id="80"/>
      <w:bookmarkEnd w:id="81"/>
    </w:p>
    <w:p>
      <w:pPr>
        <w:spacing w:line="480" w:lineRule="exact"/>
        <w:ind w:firstLine="480" w:firstLineChars="200"/>
        <w:rPr>
          <w:rFonts w:hAnsi="宋体" w:cs="宋体"/>
          <w:color w:val="000000"/>
          <w:sz w:val="24"/>
          <w:szCs w:val="24"/>
        </w:rPr>
      </w:pPr>
      <w:bookmarkStart w:id="82" w:name="EB637a2fd476d041a5b3c9c6ab288b697a"/>
      <w:r>
        <w:rPr>
          <w:rFonts w:hAnsi="宋体" w:cs="宋体"/>
          <w:color w:val="000000"/>
          <w:sz w:val="24"/>
          <w:szCs w:val="24"/>
        </w:rPr>
        <w:t xml:space="preserve">2.3.1 </w:t>
      </w:r>
      <w:r>
        <w:rPr>
          <w:rFonts w:hint="eastAsia" w:hAnsi="宋体" w:cs="宋体"/>
          <w:color w:val="000000"/>
          <w:sz w:val="24"/>
          <w:szCs w:val="24"/>
        </w:rPr>
        <w:t>投标人或者其他利害关系人对招标文件（包括对招标文件澄清和修改的内容）有异议的，应当在投标人须知前附表</w:t>
      </w:r>
      <w:r>
        <w:rPr>
          <w:rFonts w:hAnsi="宋体" w:cs="宋体"/>
          <w:color w:val="000000"/>
          <w:sz w:val="24"/>
          <w:szCs w:val="24"/>
        </w:rPr>
        <w:t>4.2.1</w:t>
      </w:r>
      <w:r>
        <w:rPr>
          <w:rFonts w:hint="eastAsia" w:hAnsi="宋体" w:cs="宋体"/>
          <w:color w:val="000000"/>
          <w:sz w:val="24"/>
          <w:szCs w:val="24"/>
        </w:rPr>
        <w:t>项规定的投标截止时间</w:t>
      </w:r>
      <w:r>
        <w:rPr>
          <w:rFonts w:hAnsi="宋体" w:cs="宋体"/>
          <w:color w:val="000000"/>
          <w:sz w:val="24"/>
          <w:szCs w:val="24"/>
        </w:rPr>
        <w:t>10</w:t>
      </w:r>
      <w:r>
        <w:rPr>
          <w:rFonts w:hint="eastAsia" w:hAnsi="宋体" w:cs="宋体"/>
          <w:color w:val="000000"/>
          <w:sz w:val="24"/>
          <w:szCs w:val="24"/>
        </w:rPr>
        <w:t>日前提出。招标人自收到异议之日起</w:t>
      </w:r>
      <w:r>
        <w:rPr>
          <w:rFonts w:hAnsi="宋体" w:cs="宋体"/>
          <w:color w:val="000000"/>
          <w:sz w:val="24"/>
          <w:szCs w:val="24"/>
        </w:rPr>
        <w:t>3</w:t>
      </w:r>
      <w:r>
        <w:rPr>
          <w:rFonts w:hint="eastAsia" w:hAnsi="宋体" w:cs="宋体"/>
          <w:color w:val="000000"/>
          <w:sz w:val="24"/>
          <w:szCs w:val="24"/>
        </w:rPr>
        <w:t>日内作出答复；作出答复前，招标人将暂停招标投标活动。逾期提出的，招标人可不予受理。</w:t>
      </w:r>
    </w:p>
    <w:p>
      <w:pPr>
        <w:spacing w:line="480" w:lineRule="exact"/>
        <w:ind w:firstLine="480" w:firstLineChars="200"/>
        <w:rPr>
          <w:rFonts w:hAnsi="宋体" w:cs="宋体"/>
          <w:color w:val="000000"/>
          <w:sz w:val="24"/>
          <w:szCs w:val="24"/>
        </w:rPr>
      </w:pPr>
      <w:r>
        <w:rPr>
          <w:rFonts w:hint="eastAsia" w:hAnsi="宋体" w:cs="宋体"/>
          <w:color w:val="000000"/>
          <w:sz w:val="24"/>
          <w:szCs w:val="24"/>
        </w:rPr>
        <w:t>本处所称异议是指投标人或者其他利害关系人认为招标文件的内容违反法律、法规、规章的强制性规定，违反公开、公平、公正和诚实信用原则，影响投标人投标而向招标人提出的异议。</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2.3.2 </w:t>
      </w:r>
      <w:r>
        <w:rPr>
          <w:rFonts w:hint="eastAsia" w:hAnsi="宋体" w:cs="宋体"/>
          <w:color w:val="000000"/>
          <w:sz w:val="24"/>
          <w:szCs w:val="24"/>
        </w:rPr>
        <w:t>招标人对异议的答复构成对招标文件澄清或者修改的，招标机构将按照本章第</w:t>
      </w:r>
      <w:r>
        <w:rPr>
          <w:rFonts w:hAnsi="宋体" w:cs="宋体"/>
          <w:color w:val="000000"/>
          <w:sz w:val="24"/>
          <w:szCs w:val="24"/>
        </w:rPr>
        <w:t>2.2</w:t>
      </w:r>
      <w:r>
        <w:rPr>
          <w:rFonts w:hint="eastAsia" w:hAnsi="宋体" w:cs="宋体"/>
          <w:color w:val="000000"/>
          <w:sz w:val="24"/>
          <w:szCs w:val="24"/>
        </w:rPr>
        <w:t>款规定办理。</w:t>
      </w:r>
    </w:p>
    <w:bookmarkEnd w:id="82"/>
    <w:p>
      <w:pPr>
        <w:pStyle w:val="6"/>
        <w:spacing w:line="480" w:lineRule="exact"/>
        <w:ind w:firstLine="482" w:firstLineChars="200"/>
        <w:jc w:val="both"/>
        <w:rPr>
          <w:rFonts w:ascii="仿宋_GB2312" w:cs="宋体"/>
          <w:color w:val="000000"/>
          <w:sz w:val="24"/>
          <w:szCs w:val="24"/>
        </w:rPr>
      </w:pPr>
      <w:bookmarkStart w:id="83" w:name="_Toc27113"/>
      <w:bookmarkStart w:id="84" w:name="_Toc5611"/>
      <w:bookmarkStart w:id="85" w:name="_Toc522293508"/>
      <w:r>
        <w:rPr>
          <w:rFonts w:ascii="仿宋_GB2312" w:cs="宋体"/>
          <w:color w:val="000000"/>
          <w:sz w:val="24"/>
          <w:szCs w:val="24"/>
        </w:rPr>
        <w:t xml:space="preserve">3. </w:t>
      </w:r>
      <w:r>
        <w:rPr>
          <w:rFonts w:hint="eastAsia" w:ascii="仿宋_GB2312" w:cs="宋体"/>
          <w:color w:val="000000"/>
          <w:sz w:val="24"/>
          <w:szCs w:val="24"/>
        </w:rPr>
        <w:t>投标文件</w:t>
      </w:r>
      <w:bookmarkEnd w:id="83"/>
      <w:bookmarkEnd w:id="84"/>
      <w:bookmarkEnd w:id="85"/>
    </w:p>
    <w:p>
      <w:pPr>
        <w:pStyle w:val="7"/>
        <w:keepNext w:val="0"/>
        <w:keepLines w:val="0"/>
        <w:spacing w:after="0" w:line="480" w:lineRule="exact"/>
        <w:ind w:firstLine="482" w:firstLineChars="200"/>
        <w:jc w:val="both"/>
        <w:rPr>
          <w:rFonts w:ascii="仿宋_GB2312" w:cs="宋体"/>
          <w:color w:val="000000"/>
        </w:rPr>
      </w:pPr>
      <w:bookmarkStart w:id="86" w:name="_Toc18603054"/>
      <w:bookmarkStart w:id="87" w:name="_Toc26925"/>
      <w:r>
        <w:rPr>
          <w:rFonts w:ascii="仿宋_GB2312" w:cs="宋体"/>
          <w:color w:val="000000"/>
        </w:rPr>
        <w:t xml:space="preserve">3.1 </w:t>
      </w:r>
      <w:r>
        <w:rPr>
          <w:rFonts w:hint="eastAsia" w:ascii="仿宋_GB2312" w:cs="宋体"/>
          <w:color w:val="000000"/>
        </w:rPr>
        <w:t>投标文件的组成</w:t>
      </w:r>
      <w:bookmarkEnd w:id="86"/>
      <w:bookmarkEnd w:id="87"/>
    </w:p>
    <w:p>
      <w:pPr>
        <w:spacing w:line="480" w:lineRule="exact"/>
        <w:ind w:firstLine="480" w:firstLineChars="200"/>
        <w:rPr>
          <w:rFonts w:hAnsi="宋体" w:cs="宋体"/>
          <w:color w:val="000000"/>
          <w:sz w:val="24"/>
          <w:szCs w:val="24"/>
        </w:rPr>
      </w:pPr>
      <w:r>
        <w:rPr>
          <w:rFonts w:hAnsi="宋体" w:cs="宋体"/>
          <w:color w:val="000000"/>
          <w:sz w:val="24"/>
          <w:szCs w:val="24"/>
        </w:rPr>
        <w:t xml:space="preserve">3.1.1 </w:t>
      </w:r>
      <w:r>
        <w:rPr>
          <w:rFonts w:hint="eastAsia" w:hAnsi="宋体" w:cs="宋体"/>
          <w:color w:val="000000"/>
          <w:sz w:val="24"/>
          <w:szCs w:val="24"/>
        </w:rPr>
        <w:t>投标文件应包括但不限于下列内容（详细内容见第七章“投标文件格式”）：</w:t>
      </w:r>
    </w:p>
    <w:p>
      <w:pPr>
        <w:spacing w:line="480" w:lineRule="exact"/>
        <w:rPr>
          <w:rFonts w:hAnsi="宋体" w:cs="宋体"/>
          <w:color w:val="000000"/>
          <w:sz w:val="24"/>
          <w:szCs w:val="24"/>
        </w:rPr>
      </w:pPr>
      <w:r>
        <w:rPr>
          <w:rFonts w:hint="eastAsia" w:hAnsi="宋体" w:cs="宋体"/>
          <w:color w:val="000000"/>
          <w:sz w:val="24"/>
          <w:szCs w:val="24"/>
        </w:rPr>
        <w:t>封面、投标函、商务文件、技术文件。</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3.1.2 </w:t>
      </w:r>
      <w:r>
        <w:rPr>
          <w:rFonts w:hint="eastAsia" w:hAnsi="宋体" w:cs="宋体"/>
          <w:color w:val="000000"/>
          <w:sz w:val="24"/>
          <w:szCs w:val="24"/>
        </w:rPr>
        <w:t>投标人须知前附表规定不接受联合体投标的，或投标人没有组成联合体的，投标文件中不包括联合体协议书。</w:t>
      </w:r>
      <w:r>
        <w:rPr>
          <w:rFonts w:hAnsi="宋体" w:cs="宋体"/>
          <w:color w:val="000000"/>
          <w:sz w:val="24"/>
          <w:szCs w:val="24"/>
        </w:rPr>
        <w:t xml:space="preserve"> </w:t>
      </w:r>
    </w:p>
    <w:p>
      <w:pPr>
        <w:pStyle w:val="7"/>
        <w:keepNext w:val="0"/>
        <w:keepLines w:val="0"/>
        <w:spacing w:after="0" w:line="480" w:lineRule="exact"/>
        <w:ind w:firstLine="482" w:firstLineChars="200"/>
        <w:jc w:val="both"/>
        <w:rPr>
          <w:rFonts w:ascii="仿宋_GB2312" w:cs="宋体"/>
          <w:color w:val="000000"/>
        </w:rPr>
      </w:pPr>
      <w:bookmarkStart w:id="88" w:name="_Toc24805"/>
      <w:bookmarkStart w:id="89" w:name="_Toc18603055"/>
      <w:r>
        <w:rPr>
          <w:rFonts w:ascii="仿宋_GB2312" w:cs="宋体"/>
          <w:color w:val="000000"/>
        </w:rPr>
        <w:t xml:space="preserve">3.2 </w:t>
      </w:r>
      <w:r>
        <w:rPr>
          <w:rFonts w:hint="eastAsia" w:ascii="仿宋_GB2312" w:cs="宋体"/>
          <w:color w:val="000000"/>
        </w:rPr>
        <w:t>投标报价</w:t>
      </w:r>
      <w:bookmarkEnd w:id="88"/>
      <w:bookmarkEnd w:id="89"/>
    </w:p>
    <w:p>
      <w:pPr>
        <w:spacing w:line="480" w:lineRule="exact"/>
        <w:ind w:firstLine="480" w:firstLineChars="200"/>
        <w:rPr>
          <w:rFonts w:hAnsi="宋体" w:cs="宋体"/>
          <w:color w:val="000000"/>
          <w:sz w:val="24"/>
          <w:szCs w:val="24"/>
        </w:rPr>
      </w:pPr>
      <w:r>
        <w:rPr>
          <w:rFonts w:hAnsi="宋体" w:cs="宋体"/>
          <w:color w:val="000000"/>
          <w:sz w:val="24"/>
          <w:szCs w:val="24"/>
        </w:rPr>
        <w:t>3.2.1</w:t>
      </w:r>
      <w:r>
        <w:rPr>
          <w:rFonts w:hint="eastAsia" w:hAnsi="宋体" w:cs="宋体"/>
          <w:color w:val="000000"/>
          <w:sz w:val="24"/>
          <w:szCs w:val="24"/>
        </w:rPr>
        <w:t>投标人应按照第五章“商务及技术要求”规定的内容进行报价。并按第七章“投标文件格式”确定的格式报价。投标总价应为优惠后的最终报价，任何报价上的优惠应体现在报价中，国家规定的各项税费不得优惠。投标总价中不得包含招标文件要求以外的内容，否则，在评标时不予核减。投标总价中也不得缺漏招标文件所要求的内容，否则，在评标时将被视为已包含在投标总价中。</w:t>
      </w:r>
    </w:p>
    <w:p>
      <w:pPr>
        <w:spacing w:line="480" w:lineRule="exact"/>
        <w:ind w:firstLine="480" w:firstLineChars="200"/>
        <w:rPr>
          <w:rFonts w:hAnsi="宋体" w:cs="宋体"/>
          <w:color w:val="000000"/>
          <w:sz w:val="24"/>
          <w:szCs w:val="24"/>
        </w:rPr>
      </w:pPr>
      <w:r>
        <w:rPr>
          <w:rFonts w:hAnsi="宋体" w:cs="宋体"/>
          <w:color w:val="000000"/>
          <w:sz w:val="24"/>
          <w:szCs w:val="24"/>
        </w:rPr>
        <w:t>3.2.2</w:t>
      </w:r>
      <w:r>
        <w:rPr>
          <w:rFonts w:hint="eastAsia" w:hAnsi="宋体" w:cs="宋体"/>
          <w:color w:val="000000"/>
          <w:sz w:val="24"/>
          <w:szCs w:val="24"/>
        </w:rPr>
        <w:t>投标人所报的投标价在合同执行过程中是固定不变的，不得以任何理由予以变更。</w:t>
      </w:r>
    </w:p>
    <w:p>
      <w:pPr>
        <w:pStyle w:val="21"/>
        <w:spacing w:after="0" w:line="480" w:lineRule="exact"/>
        <w:ind w:firstLine="480" w:firstLineChars="200"/>
        <w:rPr>
          <w:rFonts w:ascii="仿宋_GB2312" w:cs="宋体"/>
          <w:color w:val="000000"/>
          <w:sz w:val="24"/>
        </w:rPr>
      </w:pPr>
      <w:r>
        <w:rPr>
          <w:rFonts w:ascii="仿宋_GB2312" w:cs="宋体"/>
          <w:color w:val="000000"/>
          <w:sz w:val="24"/>
        </w:rPr>
        <w:t>3.2.3</w:t>
      </w:r>
      <w:r>
        <w:rPr>
          <w:rFonts w:hint="eastAsia" w:ascii="仿宋_GB2312" w:cs="宋体"/>
          <w:color w:val="000000"/>
          <w:sz w:val="24"/>
        </w:rPr>
        <w:t>投标人的投标报价高于本项目最高限价的评标委员会否决其投标。</w:t>
      </w:r>
    </w:p>
    <w:p>
      <w:pPr>
        <w:pStyle w:val="21"/>
        <w:spacing w:after="0" w:line="480" w:lineRule="exact"/>
        <w:rPr>
          <w:rFonts w:ascii="仿宋_GB2312" w:cs="宋体"/>
          <w:color w:val="000000"/>
          <w:sz w:val="24"/>
        </w:rPr>
      </w:pPr>
    </w:p>
    <w:p>
      <w:pPr>
        <w:pStyle w:val="7"/>
        <w:keepNext w:val="0"/>
        <w:keepLines w:val="0"/>
        <w:spacing w:after="0" w:line="480" w:lineRule="exact"/>
        <w:ind w:firstLine="482" w:firstLineChars="200"/>
        <w:jc w:val="both"/>
        <w:rPr>
          <w:rFonts w:ascii="仿宋_GB2312" w:cs="宋体"/>
          <w:color w:val="000000"/>
        </w:rPr>
      </w:pPr>
      <w:bookmarkStart w:id="90" w:name="_Toc18603056"/>
      <w:bookmarkStart w:id="91" w:name="_Toc22195"/>
      <w:r>
        <w:rPr>
          <w:rFonts w:ascii="仿宋_GB2312" w:cs="宋体"/>
          <w:color w:val="000000"/>
        </w:rPr>
        <w:t xml:space="preserve">3.3 </w:t>
      </w:r>
      <w:r>
        <w:rPr>
          <w:rFonts w:hint="eastAsia" w:ascii="仿宋_GB2312" w:cs="宋体"/>
          <w:color w:val="000000"/>
        </w:rPr>
        <w:t>投标有效期</w:t>
      </w:r>
      <w:bookmarkEnd w:id="90"/>
      <w:bookmarkEnd w:id="91"/>
    </w:p>
    <w:p>
      <w:pPr>
        <w:spacing w:line="480" w:lineRule="exact"/>
        <w:ind w:firstLine="480" w:firstLineChars="200"/>
        <w:rPr>
          <w:rFonts w:hAnsi="宋体" w:cs="宋体"/>
          <w:color w:val="000000"/>
          <w:sz w:val="24"/>
          <w:szCs w:val="24"/>
        </w:rPr>
      </w:pPr>
      <w:r>
        <w:rPr>
          <w:rFonts w:hAnsi="宋体" w:cs="宋体"/>
          <w:color w:val="000000"/>
          <w:sz w:val="24"/>
          <w:szCs w:val="24"/>
        </w:rPr>
        <w:t xml:space="preserve">3.3.1 </w:t>
      </w:r>
      <w:r>
        <w:rPr>
          <w:rFonts w:hint="eastAsia" w:hAnsi="宋体" w:cs="宋体"/>
          <w:color w:val="000000"/>
          <w:sz w:val="24"/>
          <w:szCs w:val="24"/>
        </w:rPr>
        <w:t>在投标人须知前附表规定的投标有效期内，投标人不得要求撤销或修改其投标文件。</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3.3.2 </w:t>
      </w:r>
      <w:r>
        <w:rPr>
          <w:rFonts w:hint="eastAsia" w:hAnsi="宋体" w:cs="宋体"/>
          <w:color w:val="000000"/>
          <w:sz w:val="24"/>
          <w:szCs w:val="24"/>
        </w:rPr>
        <w:t>出现特殊情况需要延长投标有效期的，招标人以邮箱形式通知所有投标人延长投标有效期。投标人同意延长的，应相应延长其投标保证金的有效期。</w:t>
      </w:r>
    </w:p>
    <w:p>
      <w:pPr>
        <w:pStyle w:val="7"/>
        <w:keepNext w:val="0"/>
        <w:keepLines w:val="0"/>
        <w:spacing w:after="0" w:line="480" w:lineRule="exact"/>
        <w:ind w:firstLine="482" w:firstLineChars="200"/>
        <w:jc w:val="both"/>
        <w:rPr>
          <w:rFonts w:ascii="仿宋_GB2312" w:cs="宋体"/>
          <w:color w:val="000000"/>
        </w:rPr>
      </w:pPr>
      <w:bookmarkStart w:id="92" w:name="_Toc2581"/>
      <w:bookmarkStart w:id="93" w:name="_Toc18603057"/>
      <w:r>
        <w:rPr>
          <w:rFonts w:ascii="仿宋_GB2312" w:cs="宋体"/>
          <w:color w:val="000000"/>
        </w:rPr>
        <w:t>3.4投标保证金</w:t>
      </w:r>
      <w:bookmarkEnd w:id="92"/>
    </w:p>
    <w:p>
      <w:pPr>
        <w:spacing w:line="480" w:lineRule="exact"/>
        <w:ind w:firstLine="480"/>
        <w:rPr>
          <w:rFonts w:hAnsi="宋体" w:cs="宋体"/>
          <w:color w:val="000000"/>
          <w:kern w:val="1"/>
          <w:sz w:val="24"/>
          <w:szCs w:val="24"/>
        </w:rPr>
      </w:pPr>
      <w:r>
        <w:rPr>
          <w:rFonts w:hint="eastAsia" w:hAnsi="宋体" w:cs="宋体"/>
          <w:color w:val="000000"/>
          <w:kern w:val="1"/>
          <w:sz w:val="24"/>
          <w:szCs w:val="24"/>
        </w:rPr>
        <w:t>本项目不收取投标保证金。</w:t>
      </w:r>
    </w:p>
    <w:p>
      <w:pPr>
        <w:pStyle w:val="7"/>
        <w:keepNext w:val="0"/>
        <w:keepLines w:val="0"/>
        <w:spacing w:after="0" w:line="480" w:lineRule="exact"/>
        <w:ind w:firstLine="482" w:firstLineChars="200"/>
        <w:jc w:val="both"/>
        <w:rPr>
          <w:rFonts w:ascii="仿宋_GB2312" w:cs="宋体"/>
          <w:color w:val="000000"/>
        </w:rPr>
      </w:pPr>
      <w:bookmarkStart w:id="94" w:name="_Toc28286"/>
      <w:r>
        <w:rPr>
          <w:rFonts w:ascii="仿宋_GB2312" w:cs="宋体"/>
          <w:color w:val="000000"/>
        </w:rPr>
        <w:t xml:space="preserve">3.5 </w:t>
      </w:r>
      <w:r>
        <w:rPr>
          <w:rFonts w:hint="eastAsia" w:ascii="仿宋_GB2312" w:cs="宋体"/>
          <w:color w:val="000000"/>
        </w:rPr>
        <w:t>资格审查资料</w:t>
      </w:r>
      <w:bookmarkEnd w:id="94"/>
    </w:p>
    <w:p>
      <w:pPr>
        <w:spacing w:line="480" w:lineRule="exact"/>
        <w:ind w:firstLine="480" w:firstLineChars="200"/>
        <w:rPr>
          <w:rFonts w:hAnsi="宋体" w:cs="宋体"/>
          <w:color w:val="000000"/>
          <w:sz w:val="24"/>
          <w:szCs w:val="24"/>
        </w:rPr>
      </w:pPr>
      <w:r>
        <w:rPr>
          <w:rFonts w:hAnsi="宋体" w:cs="宋体"/>
          <w:color w:val="000000"/>
          <w:sz w:val="24"/>
          <w:szCs w:val="24"/>
        </w:rPr>
        <w:t xml:space="preserve">3.5.1 </w:t>
      </w:r>
      <w:r>
        <w:rPr>
          <w:rFonts w:hint="eastAsia" w:hAnsi="宋体" w:cs="宋体"/>
          <w:color w:val="000000"/>
          <w:sz w:val="24"/>
          <w:szCs w:val="24"/>
        </w:rPr>
        <w:t>投标人应按招标文件第七章“投标文件格式”中规定的内容填写，并按具体要求提供相关证件及证明材料。</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3.5.2 </w:t>
      </w:r>
      <w:r>
        <w:rPr>
          <w:rFonts w:hint="eastAsia" w:hAnsi="宋体" w:cs="宋体"/>
          <w:color w:val="000000"/>
          <w:sz w:val="24"/>
          <w:szCs w:val="24"/>
        </w:rPr>
        <w:t>投标人须知前附表第</w:t>
      </w:r>
      <w:r>
        <w:rPr>
          <w:rFonts w:hAnsi="宋体" w:cs="宋体"/>
          <w:color w:val="000000"/>
          <w:sz w:val="24"/>
          <w:szCs w:val="24"/>
        </w:rPr>
        <w:t>1.4.2</w:t>
      </w:r>
      <w:r>
        <w:rPr>
          <w:rFonts w:hint="eastAsia" w:hAnsi="宋体" w:cs="宋体"/>
          <w:color w:val="000000"/>
          <w:sz w:val="24"/>
          <w:szCs w:val="24"/>
        </w:rPr>
        <w:t>项规定接受联合体投标的，本章第</w:t>
      </w:r>
      <w:r>
        <w:rPr>
          <w:rFonts w:hAnsi="宋体" w:cs="宋体"/>
          <w:color w:val="000000"/>
          <w:sz w:val="24"/>
          <w:szCs w:val="24"/>
        </w:rPr>
        <w:t>3.5.1</w:t>
      </w:r>
      <w:r>
        <w:rPr>
          <w:rFonts w:hint="eastAsia" w:hAnsi="宋体" w:cs="宋体"/>
          <w:color w:val="000000"/>
          <w:sz w:val="24"/>
          <w:szCs w:val="24"/>
        </w:rPr>
        <w:t>项规定的表格和资料应包括联合体各方相关情况。</w:t>
      </w:r>
    </w:p>
    <w:p>
      <w:pPr>
        <w:pStyle w:val="7"/>
        <w:keepNext w:val="0"/>
        <w:keepLines w:val="0"/>
        <w:spacing w:after="0" w:line="480" w:lineRule="exact"/>
        <w:ind w:firstLine="482" w:firstLineChars="200"/>
        <w:jc w:val="both"/>
        <w:rPr>
          <w:rFonts w:ascii="仿宋_GB2312" w:cs="宋体"/>
          <w:color w:val="000000"/>
        </w:rPr>
      </w:pPr>
      <w:bookmarkStart w:id="95" w:name="_Toc20161"/>
      <w:r>
        <w:rPr>
          <w:rFonts w:ascii="仿宋_GB2312" w:cs="宋体"/>
          <w:color w:val="000000"/>
        </w:rPr>
        <w:t xml:space="preserve">3.5 </w:t>
      </w:r>
      <w:r>
        <w:rPr>
          <w:rFonts w:hint="eastAsia" w:ascii="仿宋_GB2312" w:cs="宋体"/>
          <w:color w:val="000000"/>
        </w:rPr>
        <w:t>资格审查资料</w:t>
      </w:r>
      <w:bookmarkEnd w:id="93"/>
      <w:bookmarkEnd w:id="95"/>
    </w:p>
    <w:p>
      <w:pPr>
        <w:spacing w:line="480" w:lineRule="exact"/>
        <w:ind w:firstLine="480" w:firstLineChars="200"/>
        <w:rPr>
          <w:rFonts w:hAnsi="宋体" w:cs="宋体"/>
          <w:color w:val="000000"/>
          <w:sz w:val="24"/>
          <w:szCs w:val="24"/>
        </w:rPr>
      </w:pPr>
      <w:r>
        <w:rPr>
          <w:rFonts w:hAnsi="宋体" w:cs="宋体"/>
          <w:color w:val="000000"/>
          <w:sz w:val="24"/>
          <w:szCs w:val="24"/>
        </w:rPr>
        <w:t xml:space="preserve">3.5.1 </w:t>
      </w:r>
      <w:r>
        <w:rPr>
          <w:rFonts w:hint="eastAsia" w:hAnsi="宋体" w:cs="宋体"/>
          <w:color w:val="000000"/>
          <w:sz w:val="24"/>
          <w:szCs w:val="24"/>
        </w:rPr>
        <w:t>投标人应按招标文件第七章“投标文件格式”中规定的内容填写，并按具体要求提供相关证件及证明材料。</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3.5.2 </w:t>
      </w:r>
      <w:r>
        <w:rPr>
          <w:rFonts w:hint="eastAsia" w:hAnsi="宋体" w:cs="宋体"/>
          <w:color w:val="000000"/>
          <w:sz w:val="24"/>
          <w:szCs w:val="24"/>
        </w:rPr>
        <w:t>投标人须知前附表第</w:t>
      </w:r>
      <w:r>
        <w:rPr>
          <w:rFonts w:hAnsi="宋体" w:cs="宋体"/>
          <w:color w:val="000000"/>
          <w:sz w:val="24"/>
          <w:szCs w:val="24"/>
        </w:rPr>
        <w:t>1.4.2</w:t>
      </w:r>
      <w:r>
        <w:rPr>
          <w:rFonts w:hint="eastAsia" w:hAnsi="宋体" w:cs="宋体"/>
          <w:color w:val="000000"/>
          <w:sz w:val="24"/>
          <w:szCs w:val="24"/>
        </w:rPr>
        <w:t>项规定接受联合体投标的，本章第</w:t>
      </w:r>
      <w:r>
        <w:rPr>
          <w:rFonts w:hAnsi="宋体" w:cs="宋体"/>
          <w:color w:val="000000"/>
          <w:sz w:val="24"/>
          <w:szCs w:val="24"/>
        </w:rPr>
        <w:t>3.5.1</w:t>
      </w:r>
      <w:r>
        <w:rPr>
          <w:rFonts w:hint="eastAsia" w:hAnsi="宋体" w:cs="宋体"/>
          <w:color w:val="000000"/>
          <w:sz w:val="24"/>
          <w:szCs w:val="24"/>
        </w:rPr>
        <w:t>项规定的表格和资料应包括联合体各方相关情况。</w:t>
      </w:r>
    </w:p>
    <w:p>
      <w:pPr>
        <w:pStyle w:val="7"/>
        <w:keepNext w:val="0"/>
        <w:keepLines w:val="0"/>
        <w:spacing w:after="0" w:line="480" w:lineRule="exact"/>
        <w:ind w:firstLine="482" w:firstLineChars="200"/>
        <w:jc w:val="both"/>
        <w:rPr>
          <w:rFonts w:ascii="仿宋_GB2312" w:cs="宋体"/>
          <w:color w:val="000000"/>
        </w:rPr>
      </w:pPr>
      <w:bookmarkStart w:id="96" w:name="_Toc18603058"/>
      <w:bookmarkStart w:id="97" w:name="_Toc10734"/>
      <w:r>
        <w:rPr>
          <w:rFonts w:ascii="仿宋_GB2312" w:cs="宋体"/>
          <w:color w:val="000000"/>
        </w:rPr>
        <w:t xml:space="preserve">3.6 </w:t>
      </w:r>
      <w:r>
        <w:rPr>
          <w:rFonts w:hint="eastAsia" w:ascii="仿宋_GB2312" w:cs="宋体"/>
          <w:color w:val="000000"/>
        </w:rPr>
        <w:t>备选投标方案</w:t>
      </w:r>
      <w:bookmarkEnd w:id="96"/>
      <w:bookmarkEnd w:id="97"/>
    </w:p>
    <w:p>
      <w:pPr>
        <w:pStyle w:val="180"/>
        <w:spacing w:line="480" w:lineRule="exact"/>
        <w:ind w:firstLine="480" w:firstLineChars="200"/>
        <w:rPr>
          <w:rFonts w:hAnsi="宋体" w:cs="宋体"/>
          <w:color w:val="000000"/>
          <w:sz w:val="24"/>
          <w:szCs w:val="24"/>
        </w:rPr>
      </w:pPr>
      <w:bookmarkStart w:id="98" w:name="_Toc18603059"/>
      <w:r>
        <w:rPr>
          <w:rFonts w:hint="eastAsia" w:hAnsi="宋体" w:cs="宋体"/>
          <w:color w:val="000000"/>
          <w:sz w:val="24"/>
          <w:szCs w:val="24"/>
        </w:rPr>
        <w:t>除投标人须知前附表另有规定外，投标人不得递交备选投标方案。允许投标人递交备选投标方案的，只有中标人所递交的备选投标方案方可予以考虑。评标委员会认为中标候选人的备选投标方案优于其按照招标文件要求编制的投标方案的，该中标候选人被确定中标人后，招标人可以接受该备选投标方案。</w:t>
      </w:r>
      <w:bookmarkEnd w:id="98"/>
    </w:p>
    <w:p>
      <w:pPr>
        <w:pStyle w:val="7"/>
        <w:keepNext w:val="0"/>
        <w:keepLines w:val="0"/>
        <w:spacing w:after="0" w:line="480" w:lineRule="exact"/>
        <w:ind w:firstLine="482" w:firstLineChars="200"/>
        <w:jc w:val="both"/>
        <w:rPr>
          <w:rFonts w:ascii="仿宋_GB2312" w:cs="宋体"/>
          <w:color w:val="000000"/>
        </w:rPr>
      </w:pPr>
      <w:bookmarkStart w:id="99" w:name="_Toc18603060"/>
      <w:bookmarkStart w:id="100" w:name="_Toc30521"/>
      <w:r>
        <w:rPr>
          <w:rFonts w:ascii="仿宋_GB2312" w:cs="宋体"/>
          <w:color w:val="000000"/>
        </w:rPr>
        <w:t xml:space="preserve">3.7 </w:t>
      </w:r>
      <w:r>
        <w:rPr>
          <w:rFonts w:hint="eastAsia" w:ascii="仿宋_GB2312" w:cs="宋体"/>
          <w:color w:val="000000"/>
        </w:rPr>
        <w:t>投标文件的编制</w:t>
      </w:r>
      <w:bookmarkEnd w:id="99"/>
      <w:bookmarkEnd w:id="100"/>
    </w:p>
    <w:p>
      <w:pPr>
        <w:spacing w:line="480" w:lineRule="exact"/>
        <w:ind w:firstLine="480" w:firstLineChars="200"/>
        <w:rPr>
          <w:rFonts w:hAnsi="宋体" w:cs="宋体"/>
          <w:color w:val="000000"/>
          <w:sz w:val="24"/>
          <w:szCs w:val="24"/>
        </w:rPr>
      </w:pPr>
      <w:r>
        <w:rPr>
          <w:rFonts w:hAnsi="宋体" w:cs="宋体"/>
          <w:color w:val="000000"/>
          <w:sz w:val="24"/>
          <w:szCs w:val="24"/>
        </w:rPr>
        <w:t xml:space="preserve">3.7.1 </w:t>
      </w:r>
      <w:r>
        <w:rPr>
          <w:rFonts w:hint="eastAsia" w:hAnsi="宋体" w:cs="宋体"/>
          <w:color w:val="000000"/>
          <w:sz w:val="24"/>
          <w:szCs w:val="24"/>
        </w:rPr>
        <w:t>投标文件应按第七章“投标文件格式”进行编写，如有必要，可以增加附页，作为投标文件的组成部分。其中，投标函附录在满足招标文件实质性要求的基础上，可以提出比招标文件要求更有利于招标人的承诺。</w:t>
      </w:r>
    </w:p>
    <w:p>
      <w:pPr>
        <w:spacing w:line="480" w:lineRule="exact"/>
        <w:ind w:firstLine="480" w:firstLineChars="200"/>
        <w:rPr>
          <w:rFonts w:hAnsi="宋体" w:cs="宋体"/>
          <w:color w:val="000000"/>
          <w:sz w:val="24"/>
          <w:szCs w:val="24"/>
        </w:rPr>
      </w:pPr>
      <w:r>
        <w:rPr>
          <w:rFonts w:hAnsi="宋体" w:cs="宋体"/>
          <w:color w:val="000000"/>
          <w:sz w:val="24"/>
          <w:szCs w:val="24"/>
        </w:rPr>
        <w:t>3.7.2</w:t>
      </w:r>
      <w:r>
        <w:rPr>
          <w:rFonts w:hint="eastAsia" w:hAnsi="宋体" w:cs="宋体"/>
          <w:color w:val="000000"/>
          <w:sz w:val="24"/>
          <w:szCs w:val="24"/>
        </w:rPr>
        <w:t>投标文件应当对招标文件有关交付时间、投标有效期、商务及技术要求、招标范围等实质性内容作出响应。</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3.7.3 </w:t>
      </w:r>
      <w:r>
        <w:rPr>
          <w:rFonts w:hint="eastAsia" w:hAnsi="宋体" w:cs="宋体"/>
          <w:color w:val="000000"/>
          <w:sz w:val="24"/>
          <w:szCs w:val="24"/>
        </w:rPr>
        <w:t>纸质版投标文件</w:t>
      </w:r>
    </w:p>
    <w:p>
      <w:pPr>
        <w:spacing w:line="480" w:lineRule="exact"/>
        <w:ind w:firstLine="480" w:firstLineChars="200"/>
        <w:rPr>
          <w:rFonts w:hAnsi="宋体" w:cs="宋体"/>
          <w:color w:val="000000"/>
          <w:sz w:val="24"/>
          <w:szCs w:val="24"/>
        </w:rPr>
      </w:pPr>
      <w:r>
        <w:rPr>
          <w:rFonts w:hint="eastAsia" w:hAnsi="宋体" w:cs="宋体"/>
          <w:color w:val="000000"/>
          <w:sz w:val="24"/>
          <w:szCs w:val="24"/>
        </w:rPr>
        <w:t>投标文件应用不褪色的材料书写或打印，并由投标人的法定代表人或其委托代理人签字或盖单位章。委托代理人签字的，投标文件应附法定代表人签署的授权委托书。投标文件应尽量避免涂改、行间插字或删除。如果出现上述情况，改动之处应加盖单位章或由投标人的法定代表人或其授权的代理人签字确认。第七章投标文件格式中要求签章的地方，投标人均应签章。凡第七章投标文件格式中未明确要求投标人签章的地方，无需签章。</w:t>
      </w:r>
    </w:p>
    <w:p>
      <w:pPr>
        <w:spacing w:line="480" w:lineRule="exact"/>
        <w:ind w:firstLine="480" w:firstLineChars="200"/>
        <w:rPr>
          <w:rFonts w:hAnsi="宋体" w:cs="宋体"/>
          <w:color w:val="000000"/>
          <w:sz w:val="24"/>
          <w:szCs w:val="24"/>
        </w:rPr>
      </w:pPr>
      <w:r>
        <w:rPr>
          <w:rFonts w:hAnsi="宋体" w:cs="宋体"/>
          <w:color w:val="000000"/>
          <w:sz w:val="24"/>
          <w:szCs w:val="24"/>
        </w:rPr>
        <w:t>3.7.4</w:t>
      </w:r>
      <w:r>
        <w:rPr>
          <w:rFonts w:hint="eastAsia" w:hAnsi="宋体" w:cs="宋体"/>
          <w:color w:val="000000"/>
          <w:sz w:val="24"/>
          <w:szCs w:val="24"/>
        </w:rPr>
        <w:t>投标文件正本一份</w:t>
      </w:r>
      <w:r>
        <w:rPr>
          <w:rFonts w:hAnsi="宋体" w:cs="宋体"/>
          <w:color w:val="000000"/>
          <w:sz w:val="24"/>
          <w:szCs w:val="24"/>
        </w:rPr>
        <w:t>,</w:t>
      </w:r>
      <w:r>
        <w:rPr>
          <w:rFonts w:hint="eastAsia" w:hAnsi="宋体" w:cs="宋体"/>
          <w:color w:val="000000"/>
          <w:sz w:val="24"/>
          <w:szCs w:val="24"/>
        </w:rPr>
        <w:t>副本份数见投标人须知前附表。正本和副本的封面上应清楚地标记“正本”或“副本”的字样。当副本和正本不一致时，以正本为准。</w:t>
      </w:r>
    </w:p>
    <w:p>
      <w:pPr>
        <w:spacing w:line="480" w:lineRule="exact"/>
        <w:ind w:firstLine="480" w:firstLineChars="200"/>
        <w:rPr>
          <w:rFonts w:hAnsi="宋体" w:cs="宋体"/>
          <w:color w:val="000000"/>
          <w:sz w:val="24"/>
          <w:szCs w:val="24"/>
        </w:rPr>
      </w:pPr>
      <w:r>
        <w:rPr>
          <w:rFonts w:hAnsi="宋体" w:cs="宋体"/>
          <w:color w:val="000000"/>
          <w:sz w:val="24"/>
          <w:szCs w:val="24"/>
        </w:rPr>
        <w:t>3.7.5</w:t>
      </w:r>
      <w:r>
        <w:rPr>
          <w:rFonts w:hint="eastAsia" w:hAnsi="宋体" w:cs="宋体"/>
          <w:color w:val="000000"/>
          <w:sz w:val="24"/>
          <w:szCs w:val="24"/>
        </w:rPr>
        <w:t>投标文件的正本与副本应分别装订成册，（本项目投标文件不得采用活页装订，应采用胶包装订方式）。</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3.7.6 </w:t>
      </w:r>
      <w:r>
        <w:rPr>
          <w:rFonts w:hint="eastAsia" w:hAnsi="宋体" w:cs="宋体"/>
          <w:color w:val="000000"/>
          <w:sz w:val="24"/>
          <w:szCs w:val="24"/>
        </w:rPr>
        <w:t>电子投标文件制作</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1</w:t>
      </w:r>
      <w:r>
        <w:rPr>
          <w:rFonts w:hint="eastAsia" w:hAnsi="宋体" w:cs="宋体"/>
          <w:color w:val="000000"/>
          <w:sz w:val="24"/>
          <w:szCs w:val="24"/>
        </w:rPr>
        <w:t>）电子投标文件为</w:t>
      </w:r>
      <w:r>
        <w:rPr>
          <w:rFonts w:hAnsi="宋体" w:cs="宋体"/>
          <w:color w:val="000000"/>
          <w:sz w:val="24"/>
          <w:szCs w:val="24"/>
        </w:rPr>
        <w:t>PDF</w:t>
      </w:r>
      <w:r>
        <w:rPr>
          <w:rFonts w:hint="eastAsia" w:hAnsi="宋体" w:cs="宋体"/>
          <w:color w:val="000000"/>
          <w:sz w:val="24"/>
          <w:szCs w:val="24"/>
        </w:rPr>
        <w:t>格式，刻录至光盘或</w:t>
      </w:r>
      <w:r>
        <w:rPr>
          <w:rFonts w:hAnsi="宋体" w:cs="宋体"/>
          <w:color w:val="000000"/>
          <w:sz w:val="24"/>
          <w:szCs w:val="24"/>
        </w:rPr>
        <w:t>U</w:t>
      </w:r>
      <w:r>
        <w:rPr>
          <w:rFonts w:hint="eastAsia" w:hAnsi="宋体" w:cs="宋体"/>
          <w:color w:val="000000"/>
          <w:sz w:val="24"/>
          <w:szCs w:val="24"/>
        </w:rPr>
        <w:t>盘中随纸质版文件一同密封提交。</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2</w:t>
      </w:r>
      <w:r>
        <w:rPr>
          <w:rFonts w:hint="eastAsia" w:hAnsi="宋体" w:cs="宋体"/>
          <w:color w:val="000000"/>
          <w:sz w:val="24"/>
          <w:szCs w:val="24"/>
        </w:rPr>
        <w:t>）电子投标文件中的证明资料的“复印件”均为“原件彩色扫描件”。</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3</w:t>
      </w:r>
      <w:r>
        <w:rPr>
          <w:rFonts w:hint="eastAsia" w:hAnsi="宋体" w:cs="宋体"/>
          <w:color w:val="000000"/>
          <w:sz w:val="24"/>
          <w:szCs w:val="24"/>
        </w:rPr>
        <w:t>）第七章投标文件格式中要求签字或盖章的地方，投标人均应签字或盖章。凡第七章投标文件格式中未明确要求投标人签章的地方，无需签章。</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4</w:t>
      </w:r>
      <w:r>
        <w:rPr>
          <w:rFonts w:hint="eastAsia" w:hAnsi="宋体" w:cs="宋体"/>
          <w:color w:val="000000"/>
          <w:sz w:val="24"/>
          <w:szCs w:val="24"/>
        </w:rPr>
        <w:t>）如招标人需对招标文件进行澄清、修改或补充，而发出电子招标澄清修改文件时，则投标人应以招标人最后发布的电子招标澄清修改文件制作电子投标文件。</w:t>
      </w:r>
    </w:p>
    <w:p>
      <w:pPr>
        <w:pStyle w:val="6"/>
        <w:spacing w:line="480" w:lineRule="exact"/>
        <w:ind w:firstLine="482" w:firstLineChars="200"/>
        <w:jc w:val="both"/>
        <w:rPr>
          <w:rFonts w:ascii="仿宋_GB2312" w:cs="宋体"/>
          <w:color w:val="000000"/>
          <w:sz w:val="24"/>
          <w:szCs w:val="24"/>
        </w:rPr>
      </w:pPr>
      <w:bookmarkStart w:id="101" w:name="_Toc15060"/>
      <w:bookmarkStart w:id="102" w:name="_Toc12544"/>
      <w:r>
        <w:rPr>
          <w:rFonts w:ascii="仿宋_GB2312" w:cs="宋体"/>
          <w:color w:val="000000"/>
          <w:sz w:val="24"/>
          <w:szCs w:val="24"/>
        </w:rPr>
        <w:t xml:space="preserve">4. </w:t>
      </w:r>
      <w:r>
        <w:rPr>
          <w:rFonts w:hint="eastAsia" w:ascii="仿宋_GB2312" w:cs="宋体"/>
          <w:color w:val="000000"/>
          <w:sz w:val="24"/>
          <w:szCs w:val="24"/>
        </w:rPr>
        <w:t>投标</w:t>
      </w:r>
      <w:bookmarkEnd w:id="101"/>
      <w:bookmarkEnd w:id="102"/>
    </w:p>
    <w:p>
      <w:pPr>
        <w:pStyle w:val="7"/>
        <w:keepNext w:val="0"/>
        <w:keepLines w:val="0"/>
        <w:spacing w:after="0" w:line="480" w:lineRule="exact"/>
        <w:ind w:firstLine="482" w:firstLineChars="200"/>
        <w:jc w:val="both"/>
        <w:rPr>
          <w:rFonts w:ascii="仿宋_GB2312" w:cs="宋体"/>
          <w:color w:val="000000"/>
        </w:rPr>
      </w:pPr>
      <w:bookmarkStart w:id="103" w:name="_Toc21951"/>
      <w:bookmarkStart w:id="104" w:name="_Toc18603062"/>
      <w:r>
        <w:rPr>
          <w:rFonts w:ascii="仿宋_GB2312" w:cs="宋体"/>
          <w:color w:val="000000"/>
        </w:rPr>
        <w:t xml:space="preserve">4.1 </w:t>
      </w:r>
      <w:r>
        <w:rPr>
          <w:rFonts w:hint="eastAsia" w:ascii="仿宋_GB2312" w:cs="宋体"/>
          <w:color w:val="000000"/>
        </w:rPr>
        <w:t>投标文件的密封和标识</w:t>
      </w:r>
      <w:bookmarkEnd w:id="103"/>
      <w:bookmarkEnd w:id="104"/>
    </w:p>
    <w:p>
      <w:pPr>
        <w:spacing w:line="480" w:lineRule="exact"/>
        <w:ind w:firstLine="480" w:firstLineChars="200"/>
        <w:rPr>
          <w:rFonts w:hAnsi="宋体" w:cs="宋体"/>
          <w:color w:val="000000"/>
          <w:sz w:val="24"/>
          <w:szCs w:val="24"/>
        </w:rPr>
      </w:pPr>
      <w:r>
        <w:rPr>
          <w:rFonts w:hAnsi="宋体" w:cs="宋体"/>
          <w:color w:val="000000"/>
          <w:sz w:val="24"/>
          <w:szCs w:val="24"/>
        </w:rPr>
        <w:t xml:space="preserve">4.1.1 </w:t>
      </w:r>
      <w:r>
        <w:rPr>
          <w:rFonts w:hint="eastAsia" w:hAnsi="宋体" w:cs="宋体"/>
          <w:color w:val="000000"/>
          <w:sz w:val="24"/>
          <w:szCs w:val="24"/>
        </w:rPr>
        <w:t>电子投标文件</w:t>
      </w:r>
    </w:p>
    <w:p>
      <w:pPr>
        <w:spacing w:line="480" w:lineRule="exact"/>
        <w:ind w:firstLine="480" w:firstLineChars="200"/>
        <w:rPr>
          <w:rFonts w:hAnsi="宋体" w:cs="宋体"/>
          <w:color w:val="000000"/>
          <w:sz w:val="24"/>
          <w:szCs w:val="24"/>
        </w:rPr>
      </w:pPr>
      <w:r>
        <w:rPr>
          <w:rFonts w:hint="eastAsia" w:hAnsi="宋体" w:cs="宋体"/>
          <w:color w:val="000000"/>
          <w:sz w:val="24"/>
          <w:szCs w:val="24"/>
        </w:rPr>
        <w:t>投标人将电子投标文件刻录至光盘或</w:t>
      </w:r>
      <w:r>
        <w:rPr>
          <w:rFonts w:hAnsi="宋体" w:cs="宋体"/>
          <w:color w:val="000000"/>
          <w:sz w:val="24"/>
          <w:szCs w:val="24"/>
        </w:rPr>
        <w:t>U</w:t>
      </w:r>
      <w:r>
        <w:rPr>
          <w:rFonts w:hint="eastAsia" w:hAnsi="宋体" w:cs="宋体"/>
          <w:color w:val="000000"/>
          <w:sz w:val="24"/>
          <w:szCs w:val="24"/>
        </w:rPr>
        <w:t>盘中随纸质版文件一同密封提交。</w:t>
      </w:r>
    </w:p>
    <w:p>
      <w:pPr>
        <w:spacing w:line="480" w:lineRule="exact"/>
        <w:ind w:firstLine="480" w:firstLineChars="200"/>
        <w:rPr>
          <w:rFonts w:hAnsi="宋体" w:cs="宋体"/>
          <w:color w:val="000000"/>
          <w:sz w:val="24"/>
          <w:szCs w:val="24"/>
        </w:rPr>
      </w:pPr>
      <w:r>
        <w:rPr>
          <w:rFonts w:hAnsi="宋体" w:cs="宋体"/>
          <w:color w:val="000000"/>
          <w:sz w:val="24"/>
          <w:szCs w:val="24"/>
        </w:rPr>
        <w:t>4.1.2</w:t>
      </w:r>
      <w:r>
        <w:rPr>
          <w:rFonts w:hint="eastAsia" w:hAnsi="宋体" w:cs="宋体"/>
          <w:color w:val="000000"/>
          <w:sz w:val="24"/>
          <w:szCs w:val="24"/>
        </w:rPr>
        <w:t>纸质版投标文件</w:t>
      </w:r>
    </w:p>
    <w:p>
      <w:pPr>
        <w:spacing w:line="480" w:lineRule="exact"/>
        <w:ind w:firstLine="480" w:firstLineChars="200"/>
        <w:rPr>
          <w:rFonts w:hAnsi="宋体" w:cs="宋体"/>
          <w:color w:val="000000"/>
          <w:sz w:val="24"/>
          <w:szCs w:val="24"/>
        </w:rPr>
      </w:pPr>
      <w:r>
        <w:rPr>
          <w:rFonts w:hint="eastAsia" w:hAnsi="宋体" w:cs="宋体"/>
          <w:color w:val="000000"/>
          <w:sz w:val="24"/>
          <w:szCs w:val="24"/>
        </w:rPr>
        <w:t>投标人必须将纸质版投标文件密封提交，可将投标文件统一密封或将正本和每份副本分别密封，所有投标文件的密封袋的封口处应加盖投标人印章。投标人应在封袋上正确标明“正本”或“副本”，所有封袋上都应写明招标人名称、项目名称、项目编号以及投标人的名称，并注明开标时间前不得开封。</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4.1.3 </w:t>
      </w:r>
      <w:r>
        <w:rPr>
          <w:rFonts w:hint="eastAsia" w:hAnsi="宋体" w:cs="宋体"/>
          <w:color w:val="000000"/>
          <w:sz w:val="24"/>
          <w:szCs w:val="24"/>
        </w:rPr>
        <w:t>未按本章第</w:t>
      </w:r>
      <w:r>
        <w:rPr>
          <w:rFonts w:hAnsi="宋体" w:cs="宋体"/>
          <w:color w:val="000000"/>
          <w:sz w:val="24"/>
          <w:szCs w:val="24"/>
        </w:rPr>
        <w:t>4.1.1</w:t>
      </w:r>
      <w:r>
        <w:rPr>
          <w:rFonts w:hint="eastAsia" w:hAnsi="宋体" w:cs="宋体"/>
          <w:color w:val="000000"/>
          <w:sz w:val="24"/>
          <w:szCs w:val="24"/>
        </w:rPr>
        <w:t>项或第</w:t>
      </w:r>
      <w:r>
        <w:rPr>
          <w:rFonts w:hAnsi="宋体" w:cs="宋体"/>
          <w:color w:val="000000"/>
          <w:sz w:val="24"/>
          <w:szCs w:val="24"/>
        </w:rPr>
        <w:t>4.1.2</w:t>
      </w:r>
      <w:r>
        <w:rPr>
          <w:rFonts w:hint="eastAsia" w:hAnsi="宋体" w:cs="宋体"/>
          <w:color w:val="000000"/>
          <w:sz w:val="24"/>
          <w:szCs w:val="24"/>
        </w:rPr>
        <w:t>项要求密封和加写标记的投标文件，招标人应予拒收。</w:t>
      </w:r>
    </w:p>
    <w:p>
      <w:pPr>
        <w:pStyle w:val="7"/>
        <w:keepNext w:val="0"/>
        <w:keepLines w:val="0"/>
        <w:spacing w:after="0" w:line="480" w:lineRule="exact"/>
        <w:ind w:firstLine="482" w:firstLineChars="200"/>
        <w:jc w:val="both"/>
        <w:rPr>
          <w:rFonts w:ascii="仿宋_GB2312" w:cs="宋体"/>
          <w:color w:val="000000"/>
        </w:rPr>
      </w:pPr>
      <w:bookmarkStart w:id="105" w:name="_Toc18603063"/>
      <w:bookmarkStart w:id="106" w:name="_Toc23356"/>
      <w:r>
        <w:rPr>
          <w:rFonts w:ascii="仿宋_GB2312" w:cs="宋体"/>
          <w:color w:val="000000"/>
        </w:rPr>
        <w:t xml:space="preserve">4.2 </w:t>
      </w:r>
      <w:r>
        <w:rPr>
          <w:rFonts w:hint="eastAsia" w:ascii="仿宋_GB2312" w:cs="宋体"/>
          <w:color w:val="000000"/>
        </w:rPr>
        <w:t>投标文件的递交</w:t>
      </w:r>
      <w:bookmarkEnd w:id="105"/>
      <w:bookmarkEnd w:id="106"/>
    </w:p>
    <w:p>
      <w:pPr>
        <w:spacing w:line="480" w:lineRule="exact"/>
        <w:ind w:firstLine="480" w:firstLineChars="200"/>
        <w:rPr>
          <w:rFonts w:hAnsi="宋体" w:cs="宋体"/>
          <w:color w:val="000000"/>
          <w:sz w:val="24"/>
          <w:szCs w:val="24"/>
        </w:rPr>
      </w:pPr>
      <w:r>
        <w:rPr>
          <w:rFonts w:hAnsi="宋体" w:cs="宋体"/>
          <w:color w:val="000000"/>
          <w:sz w:val="24"/>
          <w:szCs w:val="24"/>
        </w:rPr>
        <w:t xml:space="preserve">4.2.1 </w:t>
      </w:r>
      <w:r>
        <w:rPr>
          <w:rFonts w:hint="eastAsia" w:hAnsi="宋体" w:cs="宋体"/>
          <w:color w:val="000000"/>
          <w:sz w:val="24"/>
          <w:szCs w:val="24"/>
        </w:rPr>
        <w:t>投标人递交投标文件的截止时间（投标截止时间）：见投标人须知前附表</w:t>
      </w:r>
      <w:r>
        <w:rPr>
          <w:rFonts w:hAnsi="宋体" w:cs="宋体"/>
          <w:color w:val="000000"/>
          <w:sz w:val="24"/>
          <w:szCs w:val="24"/>
        </w:rPr>
        <w:t>4.2.1</w:t>
      </w:r>
      <w:r>
        <w:rPr>
          <w:rFonts w:hint="eastAsia" w:hAnsi="宋体" w:cs="宋体"/>
          <w:color w:val="000000"/>
          <w:sz w:val="24"/>
          <w:szCs w:val="24"/>
        </w:rPr>
        <w:t>项。</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4.2.2 </w:t>
      </w:r>
      <w:r>
        <w:rPr>
          <w:rFonts w:hint="eastAsia" w:hAnsi="宋体" w:cs="宋体"/>
          <w:color w:val="000000"/>
          <w:sz w:val="24"/>
          <w:szCs w:val="24"/>
        </w:rPr>
        <w:t>招标人可以修改通知的方式，酌情延长递交投标文件的截止日期。在此情况下，招标人与投标人以前的投标截止期方面的全部权力、责任和义务，将适用于延长后新的投标截止时间。</w:t>
      </w:r>
    </w:p>
    <w:p>
      <w:pPr>
        <w:spacing w:line="480" w:lineRule="exact"/>
        <w:ind w:firstLine="480" w:firstLineChars="200"/>
        <w:rPr>
          <w:rFonts w:hAnsi="宋体" w:cs="宋体"/>
          <w:color w:val="000000"/>
          <w:sz w:val="24"/>
          <w:szCs w:val="24"/>
        </w:rPr>
      </w:pPr>
      <w:r>
        <w:rPr>
          <w:rFonts w:hAnsi="宋体" w:cs="宋体"/>
          <w:color w:val="000000"/>
          <w:sz w:val="24"/>
          <w:szCs w:val="24"/>
        </w:rPr>
        <w:t>4.2.3</w:t>
      </w:r>
      <w:r>
        <w:rPr>
          <w:rFonts w:hint="eastAsia" w:hAnsi="宋体" w:cs="宋体"/>
          <w:color w:val="000000"/>
          <w:sz w:val="24"/>
          <w:szCs w:val="24"/>
        </w:rPr>
        <w:t>超过投标截止时间送达的投标文件将被拒绝接收。</w:t>
      </w:r>
    </w:p>
    <w:p>
      <w:pPr>
        <w:spacing w:line="480" w:lineRule="exact"/>
        <w:ind w:firstLine="480" w:firstLineChars="200"/>
        <w:rPr>
          <w:rFonts w:hAnsi="宋体" w:cs="宋体"/>
          <w:color w:val="000000"/>
          <w:sz w:val="24"/>
          <w:szCs w:val="24"/>
        </w:rPr>
      </w:pPr>
      <w:r>
        <w:rPr>
          <w:rFonts w:hAnsi="宋体" w:cs="宋体"/>
          <w:color w:val="000000"/>
          <w:sz w:val="24"/>
          <w:szCs w:val="24"/>
        </w:rPr>
        <w:t>4.2.4</w:t>
      </w:r>
      <w:r>
        <w:rPr>
          <w:rFonts w:hint="eastAsia" w:hAnsi="宋体" w:cs="宋体"/>
          <w:color w:val="000000"/>
          <w:sz w:val="24"/>
          <w:szCs w:val="24"/>
        </w:rPr>
        <w:t>到投标截止时间止，递交投标文件的投标人少于</w:t>
      </w:r>
      <w:r>
        <w:rPr>
          <w:rFonts w:hAnsi="宋体" w:cs="宋体"/>
          <w:color w:val="000000"/>
          <w:sz w:val="24"/>
          <w:szCs w:val="24"/>
        </w:rPr>
        <w:t>3</w:t>
      </w:r>
      <w:r>
        <w:rPr>
          <w:rFonts w:hint="eastAsia" w:hAnsi="宋体" w:cs="宋体"/>
          <w:color w:val="000000"/>
          <w:sz w:val="24"/>
          <w:szCs w:val="24"/>
        </w:rPr>
        <w:t>个时，招标人将依法重新组织招标。</w:t>
      </w:r>
    </w:p>
    <w:p>
      <w:pPr>
        <w:pStyle w:val="7"/>
        <w:keepNext w:val="0"/>
        <w:keepLines w:val="0"/>
        <w:spacing w:after="0" w:line="480" w:lineRule="exact"/>
        <w:ind w:firstLine="482" w:firstLineChars="200"/>
        <w:jc w:val="both"/>
        <w:rPr>
          <w:rFonts w:ascii="仿宋_GB2312" w:cs="宋体"/>
          <w:color w:val="000000"/>
        </w:rPr>
      </w:pPr>
      <w:bookmarkStart w:id="107" w:name="_Toc18603064"/>
      <w:bookmarkStart w:id="108" w:name="_Toc29113"/>
      <w:r>
        <w:rPr>
          <w:rFonts w:ascii="仿宋_GB2312" w:cs="宋体"/>
          <w:color w:val="000000"/>
        </w:rPr>
        <w:t xml:space="preserve">4.3 </w:t>
      </w:r>
      <w:r>
        <w:rPr>
          <w:rFonts w:hint="eastAsia" w:ascii="仿宋_GB2312" w:cs="宋体"/>
          <w:color w:val="000000"/>
        </w:rPr>
        <w:t>投标文件的修改与撤回</w:t>
      </w:r>
      <w:bookmarkEnd w:id="107"/>
      <w:bookmarkEnd w:id="108"/>
    </w:p>
    <w:p>
      <w:pPr>
        <w:spacing w:line="480" w:lineRule="exact"/>
        <w:ind w:firstLine="480" w:firstLineChars="200"/>
        <w:rPr>
          <w:rFonts w:hAnsi="宋体" w:cs="宋体"/>
          <w:color w:val="000000"/>
          <w:sz w:val="24"/>
          <w:szCs w:val="24"/>
        </w:rPr>
      </w:pPr>
      <w:bookmarkStart w:id="109" w:name="EB0136289d5cbd4b2fa6204b4b0668e04f"/>
      <w:r>
        <w:rPr>
          <w:rFonts w:hAnsi="宋体" w:cs="宋体"/>
          <w:color w:val="000000"/>
          <w:sz w:val="24"/>
          <w:szCs w:val="24"/>
        </w:rPr>
        <w:t xml:space="preserve">4.3.1 </w:t>
      </w:r>
      <w:r>
        <w:rPr>
          <w:rFonts w:hint="eastAsia" w:hAnsi="宋体" w:cs="宋体"/>
          <w:color w:val="000000"/>
          <w:sz w:val="24"/>
          <w:szCs w:val="24"/>
        </w:rPr>
        <w:t>在投标人须知前附表规定的投标截止时间前，投标人可以修改或撤回已递交的投标文件，但应以书面形式通知招标人。</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4.3.2 </w:t>
      </w:r>
      <w:r>
        <w:rPr>
          <w:rFonts w:hint="eastAsia" w:hAnsi="宋体" w:cs="宋体"/>
          <w:color w:val="000000"/>
          <w:sz w:val="24"/>
          <w:szCs w:val="24"/>
        </w:rPr>
        <w:t>投标人修改或撤回已递交投标文件的书面通知应按照招标文件的要求签字或盖章。招标人收到书面通知后，向投标人出具签收凭证。</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4.3.3 </w:t>
      </w:r>
      <w:r>
        <w:rPr>
          <w:rFonts w:hint="eastAsia" w:hAnsi="宋体" w:cs="宋体"/>
          <w:color w:val="000000"/>
          <w:sz w:val="24"/>
          <w:szCs w:val="24"/>
        </w:rPr>
        <w:t>投标人撤回投标文件的，招标人自收到投标人书面撤回通知之日起</w:t>
      </w:r>
      <w:r>
        <w:rPr>
          <w:rFonts w:hAnsi="宋体" w:cs="宋体"/>
          <w:color w:val="000000"/>
          <w:sz w:val="24"/>
          <w:szCs w:val="24"/>
        </w:rPr>
        <w:t>5</w:t>
      </w:r>
      <w:r>
        <w:rPr>
          <w:rFonts w:hint="eastAsia" w:hAnsi="宋体" w:cs="宋体"/>
          <w:color w:val="000000"/>
          <w:sz w:val="24"/>
          <w:szCs w:val="24"/>
        </w:rPr>
        <w:t>日内退还已收取的投标保证金。</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4.3.4 </w:t>
      </w:r>
      <w:r>
        <w:rPr>
          <w:rFonts w:hint="eastAsia" w:hAnsi="宋体" w:cs="宋体"/>
          <w:color w:val="000000"/>
          <w:sz w:val="24"/>
          <w:szCs w:val="24"/>
        </w:rPr>
        <w:t>修改的内容为投标文件的组成部分。修改的投标文件应按照本章第</w:t>
      </w:r>
      <w:r>
        <w:rPr>
          <w:rFonts w:hAnsi="宋体" w:cs="宋体"/>
          <w:color w:val="000000"/>
          <w:sz w:val="24"/>
          <w:szCs w:val="24"/>
        </w:rPr>
        <w:t>3</w:t>
      </w:r>
      <w:r>
        <w:rPr>
          <w:rFonts w:hint="eastAsia" w:hAnsi="宋体" w:cs="宋体"/>
          <w:color w:val="000000"/>
          <w:sz w:val="24"/>
          <w:szCs w:val="24"/>
        </w:rPr>
        <w:t>条、第</w:t>
      </w:r>
      <w:r>
        <w:rPr>
          <w:rFonts w:hAnsi="宋体" w:cs="宋体"/>
          <w:color w:val="000000"/>
          <w:sz w:val="24"/>
          <w:szCs w:val="24"/>
        </w:rPr>
        <w:t>4</w:t>
      </w:r>
      <w:r>
        <w:rPr>
          <w:rFonts w:hint="eastAsia" w:hAnsi="宋体" w:cs="宋体"/>
          <w:color w:val="000000"/>
          <w:sz w:val="24"/>
          <w:szCs w:val="24"/>
        </w:rPr>
        <w:t>条规定进行编制、密封、标记和递交，并标明“修改”字样。</w:t>
      </w:r>
    </w:p>
    <w:bookmarkEnd w:id="109"/>
    <w:p>
      <w:pPr>
        <w:pStyle w:val="6"/>
        <w:spacing w:line="480" w:lineRule="exact"/>
        <w:ind w:firstLine="482" w:firstLineChars="200"/>
        <w:jc w:val="both"/>
        <w:rPr>
          <w:rFonts w:ascii="仿宋_GB2312" w:cs="宋体"/>
          <w:color w:val="000000"/>
          <w:sz w:val="24"/>
          <w:szCs w:val="24"/>
        </w:rPr>
      </w:pPr>
      <w:bookmarkStart w:id="110" w:name="_Toc18135"/>
      <w:bookmarkStart w:id="111" w:name="_Toc31829"/>
      <w:bookmarkStart w:id="112" w:name="_Toc522293510"/>
      <w:r>
        <w:rPr>
          <w:rFonts w:ascii="仿宋_GB2312" w:cs="宋体"/>
          <w:color w:val="000000"/>
          <w:sz w:val="24"/>
          <w:szCs w:val="24"/>
        </w:rPr>
        <w:t xml:space="preserve">5. </w:t>
      </w:r>
      <w:r>
        <w:rPr>
          <w:rFonts w:hint="eastAsia" w:ascii="仿宋_GB2312" w:cs="宋体"/>
          <w:color w:val="000000"/>
          <w:sz w:val="24"/>
          <w:szCs w:val="24"/>
        </w:rPr>
        <w:t>开标</w:t>
      </w:r>
      <w:bookmarkEnd w:id="110"/>
      <w:bookmarkEnd w:id="111"/>
      <w:bookmarkEnd w:id="112"/>
    </w:p>
    <w:p>
      <w:pPr>
        <w:pStyle w:val="7"/>
        <w:keepNext w:val="0"/>
        <w:keepLines w:val="0"/>
        <w:spacing w:after="0" w:line="480" w:lineRule="exact"/>
        <w:ind w:firstLine="482" w:firstLineChars="200"/>
        <w:jc w:val="both"/>
        <w:rPr>
          <w:rFonts w:ascii="仿宋_GB2312" w:cs="宋体"/>
          <w:color w:val="000000"/>
        </w:rPr>
      </w:pPr>
      <w:bookmarkStart w:id="113" w:name="_Toc18603065"/>
      <w:bookmarkStart w:id="114" w:name="_Toc26998"/>
      <w:r>
        <w:rPr>
          <w:rFonts w:ascii="仿宋_GB2312" w:cs="宋体"/>
          <w:color w:val="000000"/>
        </w:rPr>
        <w:t xml:space="preserve">5.1 </w:t>
      </w:r>
      <w:r>
        <w:rPr>
          <w:rFonts w:hint="eastAsia" w:ascii="仿宋_GB2312" w:cs="宋体"/>
          <w:color w:val="000000"/>
        </w:rPr>
        <w:t>开标时间和地点</w:t>
      </w:r>
      <w:bookmarkEnd w:id="113"/>
      <w:bookmarkEnd w:id="114"/>
    </w:p>
    <w:p>
      <w:pPr>
        <w:spacing w:line="480" w:lineRule="exact"/>
        <w:ind w:firstLine="480" w:firstLineChars="200"/>
        <w:rPr>
          <w:rFonts w:hAnsi="宋体" w:cs="宋体"/>
          <w:color w:val="000000"/>
          <w:sz w:val="24"/>
          <w:szCs w:val="24"/>
        </w:rPr>
      </w:pPr>
      <w:r>
        <w:rPr>
          <w:rFonts w:hAnsi="宋体" w:cs="宋体"/>
          <w:color w:val="000000"/>
          <w:sz w:val="24"/>
          <w:szCs w:val="24"/>
        </w:rPr>
        <w:t xml:space="preserve">5.1.1 </w:t>
      </w:r>
      <w:r>
        <w:rPr>
          <w:rFonts w:hint="eastAsia" w:hAnsi="宋体" w:cs="宋体"/>
          <w:color w:val="000000"/>
          <w:sz w:val="24"/>
          <w:szCs w:val="24"/>
        </w:rPr>
        <w:t>招标人将于投标人须知前附表规定的时间和地点公开开标，并邀请所有投标人授权委托代表准时参加。</w:t>
      </w:r>
    </w:p>
    <w:p>
      <w:pPr>
        <w:spacing w:line="480" w:lineRule="exact"/>
        <w:ind w:firstLine="480" w:firstLineChars="200"/>
        <w:rPr>
          <w:rFonts w:hAnsi="宋体" w:cs="宋体"/>
          <w:color w:val="000000"/>
          <w:sz w:val="24"/>
          <w:szCs w:val="24"/>
        </w:rPr>
      </w:pPr>
      <w:r>
        <w:rPr>
          <w:rFonts w:hint="eastAsia" w:hAnsi="宋体" w:cs="宋体"/>
          <w:color w:val="000000"/>
          <w:sz w:val="24"/>
          <w:szCs w:val="24"/>
        </w:rPr>
        <w:t>投标人授权委托代表必须按时参加开标会，并在招标人按开标程序进行点名时，向招标人提交第二代身份证和法人授权委托书查验，以证明其出席。招标人核实确认并如实记入开标记录。投标人授权委托代表未按要求参加开标会的，其投标将被否决。</w:t>
      </w:r>
    </w:p>
    <w:p>
      <w:pPr>
        <w:pStyle w:val="7"/>
        <w:keepNext w:val="0"/>
        <w:keepLines w:val="0"/>
        <w:spacing w:after="0" w:line="480" w:lineRule="exact"/>
        <w:ind w:firstLine="482" w:firstLineChars="200"/>
        <w:jc w:val="both"/>
        <w:rPr>
          <w:rFonts w:ascii="仿宋_GB2312" w:cs="宋体"/>
          <w:color w:val="000000"/>
        </w:rPr>
      </w:pPr>
      <w:bookmarkStart w:id="115" w:name="_Toc18603066"/>
      <w:bookmarkStart w:id="116" w:name="_Toc21927"/>
      <w:r>
        <w:rPr>
          <w:rFonts w:ascii="仿宋_GB2312" w:cs="宋体"/>
          <w:color w:val="000000"/>
        </w:rPr>
        <w:t xml:space="preserve">5.2 </w:t>
      </w:r>
      <w:r>
        <w:rPr>
          <w:rFonts w:hint="eastAsia" w:ascii="仿宋_GB2312" w:cs="宋体"/>
          <w:color w:val="000000"/>
        </w:rPr>
        <w:t>开标程序</w:t>
      </w:r>
      <w:bookmarkEnd w:id="115"/>
      <w:bookmarkEnd w:id="116"/>
    </w:p>
    <w:p>
      <w:pPr>
        <w:spacing w:line="480" w:lineRule="exact"/>
        <w:ind w:firstLine="480" w:firstLineChars="200"/>
        <w:rPr>
          <w:rFonts w:hAnsi="宋体" w:cs="宋体"/>
          <w:color w:val="000000"/>
          <w:sz w:val="24"/>
          <w:szCs w:val="24"/>
        </w:rPr>
      </w:pPr>
      <w:r>
        <w:rPr>
          <w:rFonts w:hint="eastAsia" w:hAnsi="宋体" w:cs="宋体"/>
          <w:color w:val="000000"/>
          <w:sz w:val="24"/>
          <w:szCs w:val="24"/>
        </w:rPr>
        <w:t>主持人按下列程序进行开标：</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1</w:t>
      </w:r>
      <w:r>
        <w:rPr>
          <w:rFonts w:hint="eastAsia" w:hAnsi="宋体" w:cs="宋体"/>
          <w:color w:val="000000"/>
          <w:sz w:val="24"/>
          <w:szCs w:val="24"/>
        </w:rPr>
        <w:t>）宣布开标会开始，并宣读开标纪律；</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2</w:t>
      </w:r>
      <w:r>
        <w:rPr>
          <w:rFonts w:hint="eastAsia" w:hAnsi="宋体" w:cs="宋体"/>
          <w:color w:val="000000"/>
          <w:sz w:val="24"/>
          <w:szCs w:val="24"/>
        </w:rPr>
        <w:t>）宣布主持人、招标人代表、记录人、监标人等有关人员姓名；</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3</w:t>
      </w:r>
      <w:r>
        <w:rPr>
          <w:rFonts w:hint="eastAsia" w:hAnsi="宋体" w:cs="宋体"/>
          <w:color w:val="000000"/>
          <w:sz w:val="24"/>
          <w:szCs w:val="24"/>
        </w:rPr>
        <w:t>）公布在投标截止时间前投标文件的递交情况，并由招标人核查投标人授权委托代表是否出席开标会并核实其身份；</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4</w:t>
      </w:r>
      <w:r>
        <w:rPr>
          <w:rFonts w:hint="eastAsia" w:hAnsi="宋体" w:cs="宋体"/>
          <w:color w:val="000000"/>
          <w:sz w:val="24"/>
          <w:szCs w:val="24"/>
        </w:rPr>
        <w:t>）对未按照第</w:t>
      </w:r>
      <w:r>
        <w:rPr>
          <w:rFonts w:hAnsi="宋体" w:cs="宋体"/>
          <w:color w:val="000000"/>
          <w:sz w:val="24"/>
          <w:szCs w:val="24"/>
        </w:rPr>
        <w:t>3.7.5</w:t>
      </w:r>
      <w:r>
        <w:rPr>
          <w:rFonts w:hint="eastAsia" w:hAnsi="宋体" w:cs="宋体"/>
          <w:color w:val="000000"/>
          <w:sz w:val="24"/>
          <w:szCs w:val="24"/>
        </w:rPr>
        <w:t>项规定提交全部类型投标文件的投标人，其投标文件将被拒绝；</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5</w:t>
      </w:r>
      <w:r>
        <w:rPr>
          <w:rFonts w:hint="eastAsia" w:hAnsi="宋体" w:cs="宋体"/>
          <w:color w:val="000000"/>
          <w:sz w:val="24"/>
          <w:szCs w:val="24"/>
        </w:rPr>
        <w:t>）唱标，公布投标人名称、投标报价、投标保证金的递交情况、交付时间、质保期及其他内容；</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6</w:t>
      </w:r>
      <w:r>
        <w:rPr>
          <w:rFonts w:hint="eastAsia" w:hAnsi="宋体" w:cs="宋体"/>
          <w:color w:val="000000"/>
          <w:sz w:val="24"/>
          <w:szCs w:val="24"/>
        </w:rPr>
        <w:t>）招标人代表、监标人、记录人、投标人授权委托代表等在开标记录表上签字确认；</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7</w:t>
      </w:r>
      <w:r>
        <w:rPr>
          <w:rFonts w:hint="eastAsia" w:hAnsi="宋体" w:cs="宋体"/>
          <w:color w:val="000000"/>
          <w:sz w:val="24"/>
          <w:szCs w:val="24"/>
        </w:rPr>
        <w:t>）宣布评标期间注意事项；</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8</w:t>
      </w:r>
      <w:r>
        <w:rPr>
          <w:rFonts w:hint="eastAsia" w:hAnsi="宋体" w:cs="宋体"/>
          <w:color w:val="000000"/>
          <w:sz w:val="24"/>
          <w:szCs w:val="24"/>
        </w:rPr>
        <w:t>）开标结束。</w:t>
      </w:r>
    </w:p>
    <w:p>
      <w:pPr>
        <w:pStyle w:val="7"/>
        <w:keepNext w:val="0"/>
        <w:keepLines w:val="0"/>
        <w:spacing w:after="0" w:line="480" w:lineRule="exact"/>
        <w:ind w:firstLine="482" w:firstLineChars="200"/>
        <w:jc w:val="both"/>
        <w:rPr>
          <w:rFonts w:ascii="仿宋_GB2312" w:cs="宋体"/>
          <w:color w:val="000000"/>
        </w:rPr>
      </w:pPr>
      <w:bookmarkStart w:id="117" w:name="_Toc18603067"/>
      <w:bookmarkStart w:id="118" w:name="_Toc9991"/>
      <w:r>
        <w:rPr>
          <w:rFonts w:ascii="仿宋_GB2312" w:cs="宋体"/>
          <w:color w:val="000000"/>
        </w:rPr>
        <w:t xml:space="preserve">5.3 </w:t>
      </w:r>
      <w:r>
        <w:rPr>
          <w:rFonts w:hint="eastAsia" w:ascii="仿宋_GB2312" w:cs="宋体"/>
          <w:color w:val="000000"/>
        </w:rPr>
        <w:t>开标异议</w:t>
      </w:r>
      <w:bookmarkEnd w:id="117"/>
      <w:bookmarkEnd w:id="118"/>
    </w:p>
    <w:p>
      <w:pPr>
        <w:spacing w:line="480" w:lineRule="exact"/>
        <w:ind w:firstLine="480" w:firstLineChars="200"/>
        <w:rPr>
          <w:rFonts w:hAnsi="宋体" w:cs="宋体"/>
          <w:color w:val="000000"/>
          <w:sz w:val="24"/>
          <w:szCs w:val="24"/>
        </w:rPr>
      </w:pPr>
      <w:r>
        <w:rPr>
          <w:rFonts w:hAnsi="宋体" w:cs="宋体"/>
          <w:color w:val="000000"/>
          <w:sz w:val="24"/>
          <w:szCs w:val="24"/>
        </w:rPr>
        <w:t xml:space="preserve">5.3.1 </w:t>
      </w:r>
      <w:r>
        <w:rPr>
          <w:rFonts w:hint="eastAsia" w:hAnsi="宋体" w:cs="宋体"/>
          <w:color w:val="000000"/>
          <w:sz w:val="24"/>
          <w:szCs w:val="24"/>
        </w:rPr>
        <w:t>投标人对开标有异议的，应当在开标现场提出；招标人当场对异议作出答复，并制作记录。</w:t>
      </w:r>
    </w:p>
    <w:p>
      <w:pPr>
        <w:spacing w:line="480" w:lineRule="exact"/>
        <w:ind w:firstLine="480" w:firstLineChars="200"/>
        <w:rPr>
          <w:rFonts w:hAnsi="宋体" w:cs="宋体"/>
          <w:color w:val="000000"/>
          <w:sz w:val="24"/>
          <w:szCs w:val="24"/>
        </w:rPr>
      </w:pPr>
      <w:r>
        <w:rPr>
          <w:rFonts w:hint="eastAsia" w:hAnsi="宋体" w:cs="宋体"/>
          <w:color w:val="000000"/>
          <w:sz w:val="24"/>
          <w:szCs w:val="24"/>
        </w:rPr>
        <w:t>本处所称异议是指投标人在开标现场对投标文件提交、投标截止时间、开标程序、投标文件密封、唱标内容、开标记录、唱标次序以及投标人和招标人或者投标人相互之间存在利益冲突的情形等提出的质疑。</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5.3.2 </w:t>
      </w:r>
      <w:r>
        <w:rPr>
          <w:rFonts w:hint="eastAsia" w:hAnsi="宋体" w:cs="宋体"/>
          <w:color w:val="000000"/>
          <w:sz w:val="24"/>
          <w:szCs w:val="24"/>
        </w:rPr>
        <w:t>投标人异议成立的，招标人将及时采取纠正措施，或者提交评标委员会评审确认；投标人异议不成立的，招标人将当场给予解释说明。开标工作人员包括监督人员不应在开标现场对相关投标作出有效或者无效的判断。</w:t>
      </w:r>
    </w:p>
    <w:p>
      <w:pPr>
        <w:pStyle w:val="6"/>
        <w:spacing w:line="480" w:lineRule="exact"/>
        <w:ind w:firstLine="482" w:firstLineChars="200"/>
        <w:jc w:val="both"/>
        <w:rPr>
          <w:rFonts w:ascii="仿宋_GB2312" w:cs="宋体"/>
          <w:color w:val="000000"/>
          <w:sz w:val="24"/>
          <w:szCs w:val="24"/>
        </w:rPr>
      </w:pPr>
      <w:bookmarkStart w:id="119" w:name="_Toc522293511"/>
      <w:bookmarkStart w:id="120" w:name="_Toc4650"/>
      <w:bookmarkStart w:id="121" w:name="_Toc7936"/>
      <w:r>
        <w:rPr>
          <w:rFonts w:ascii="仿宋_GB2312" w:cs="宋体"/>
          <w:color w:val="000000"/>
          <w:sz w:val="24"/>
          <w:szCs w:val="24"/>
        </w:rPr>
        <w:t xml:space="preserve">6. </w:t>
      </w:r>
      <w:r>
        <w:rPr>
          <w:rFonts w:hint="eastAsia" w:ascii="仿宋_GB2312" w:cs="宋体"/>
          <w:color w:val="000000"/>
          <w:sz w:val="24"/>
          <w:szCs w:val="24"/>
        </w:rPr>
        <w:t>评标</w:t>
      </w:r>
      <w:bookmarkEnd w:id="119"/>
      <w:bookmarkEnd w:id="120"/>
      <w:bookmarkEnd w:id="121"/>
    </w:p>
    <w:p>
      <w:pPr>
        <w:pStyle w:val="7"/>
        <w:keepNext w:val="0"/>
        <w:keepLines w:val="0"/>
        <w:spacing w:after="0" w:line="480" w:lineRule="exact"/>
        <w:ind w:firstLine="482" w:firstLineChars="200"/>
        <w:jc w:val="both"/>
        <w:rPr>
          <w:rFonts w:ascii="仿宋_GB2312" w:cs="宋体"/>
          <w:color w:val="000000"/>
        </w:rPr>
      </w:pPr>
      <w:bookmarkStart w:id="122" w:name="_Toc18603069"/>
      <w:bookmarkStart w:id="123" w:name="_Toc10494"/>
      <w:r>
        <w:rPr>
          <w:rFonts w:ascii="仿宋_GB2312" w:cs="宋体"/>
          <w:color w:val="000000"/>
        </w:rPr>
        <w:t xml:space="preserve">6.1 </w:t>
      </w:r>
      <w:r>
        <w:rPr>
          <w:rFonts w:hint="eastAsia" w:ascii="仿宋_GB2312" w:cs="宋体"/>
          <w:color w:val="000000"/>
        </w:rPr>
        <w:t>评标委员会</w:t>
      </w:r>
      <w:bookmarkEnd w:id="122"/>
      <w:bookmarkEnd w:id="123"/>
    </w:p>
    <w:p>
      <w:pPr>
        <w:spacing w:line="480" w:lineRule="exact"/>
        <w:ind w:firstLine="480" w:firstLineChars="200"/>
        <w:rPr>
          <w:rFonts w:hAnsi="宋体" w:cs="宋体"/>
          <w:color w:val="000000"/>
          <w:sz w:val="24"/>
          <w:szCs w:val="24"/>
        </w:rPr>
      </w:pPr>
      <w:r>
        <w:rPr>
          <w:rFonts w:hAnsi="宋体" w:cs="宋体"/>
          <w:color w:val="000000"/>
          <w:sz w:val="24"/>
          <w:szCs w:val="24"/>
        </w:rPr>
        <w:t xml:space="preserve">6.1.1 </w:t>
      </w:r>
      <w:r>
        <w:rPr>
          <w:rFonts w:hint="eastAsia" w:hAnsi="宋体" w:cs="宋体"/>
          <w:color w:val="000000"/>
          <w:sz w:val="24"/>
          <w:szCs w:val="24"/>
        </w:rPr>
        <w:t>评标由招标人组建的评标委员会负责。评标委员会由招标人以及有关技术、经济等方面的专家组成。评标委员会成员人数以及技术、经济等方面专家的确定方式见投标人须知前附表。</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6.1.2 </w:t>
      </w:r>
      <w:r>
        <w:rPr>
          <w:rFonts w:hint="eastAsia" w:hAnsi="宋体" w:cs="宋体"/>
          <w:color w:val="000000"/>
          <w:sz w:val="24"/>
          <w:szCs w:val="24"/>
        </w:rPr>
        <w:t>评标委员会成员有下列情形之一的，应当回避：</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1</w:t>
      </w:r>
      <w:r>
        <w:rPr>
          <w:rFonts w:hint="eastAsia" w:hAnsi="宋体" w:cs="宋体"/>
          <w:color w:val="000000"/>
          <w:sz w:val="24"/>
          <w:szCs w:val="24"/>
        </w:rPr>
        <w:t>）招标人或投标人的主要负责人的近亲属；</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2</w:t>
      </w:r>
      <w:r>
        <w:rPr>
          <w:rFonts w:hint="eastAsia" w:hAnsi="宋体" w:cs="宋体"/>
          <w:color w:val="000000"/>
          <w:sz w:val="24"/>
          <w:szCs w:val="24"/>
        </w:rPr>
        <w:t>）项目主管部门或者行政监督部门的人员；</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3</w:t>
      </w:r>
      <w:r>
        <w:rPr>
          <w:rFonts w:hint="eastAsia" w:hAnsi="宋体" w:cs="宋体"/>
          <w:color w:val="000000"/>
          <w:sz w:val="24"/>
          <w:szCs w:val="24"/>
        </w:rPr>
        <w:t>）与投标人有经济利益关系或其他利害关系，可能影响对投标公正评审的；</w:t>
      </w:r>
    </w:p>
    <w:p>
      <w:pPr>
        <w:spacing w:line="480" w:lineRule="exact"/>
        <w:ind w:firstLine="480" w:firstLineChars="200"/>
        <w:rPr>
          <w:rFonts w:hAnsi="宋体" w:cs="宋体"/>
          <w:color w:val="000000"/>
          <w:sz w:val="24"/>
          <w:szCs w:val="24"/>
        </w:rPr>
      </w:pPr>
      <w:r>
        <w:rPr>
          <w:rFonts w:hint="eastAsia" w:hAnsi="宋体" w:cs="宋体"/>
          <w:color w:val="000000"/>
          <w:sz w:val="24"/>
          <w:szCs w:val="24"/>
        </w:rPr>
        <w:t>（</w:t>
      </w:r>
      <w:r>
        <w:rPr>
          <w:rFonts w:hAnsi="宋体" w:cs="宋体"/>
          <w:color w:val="000000"/>
          <w:sz w:val="24"/>
          <w:szCs w:val="24"/>
        </w:rPr>
        <w:t>4</w:t>
      </w:r>
      <w:r>
        <w:rPr>
          <w:rFonts w:hint="eastAsia" w:hAnsi="宋体" w:cs="宋体"/>
          <w:color w:val="000000"/>
          <w:sz w:val="24"/>
          <w:szCs w:val="24"/>
        </w:rPr>
        <w:t>）曾因在招标、评标以及其他与招标投标有关活动中从事违法行为而受过行政处罚或刑事处罚的。</w:t>
      </w:r>
    </w:p>
    <w:p>
      <w:pPr>
        <w:pStyle w:val="7"/>
        <w:keepNext w:val="0"/>
        <w:keepLines w:val="0"/>
        <w:spacing w:after="0" w:line="480" w:lineRule="exact"/>
        <w:ind w:firstLine="482" w:firstLineChars="200"/>
        <w:jc w:val="both"/>
        <w:rPr>
          <w:rFonts w:ascii="仿宋_GB2312" w:cs="宋体"/>
          <w:color w:val="000000"/>
        </w:rPr>
      </w:pPr>
      <w:bookmarkStart w:id="124" w:name="_Toc18603070"/>
      <w:bookmarkStart w:id="125" w:name="_Toc21177"/>
      <w:r>
        <w:rPr>
          <w:rFonts w:ascii="仿宋_GB2312" w:cs="宋体"/>
          <w:color w:val="000000"/>
        </w:rPr>
        <w:t xml:space="preserve">6.2 </w:t>
      </w:r>
      <w:r>
        <w:rPr>
          <w:rFonts w:hint="eastAsia" w:ascii="仿宋_GB2312" w:cs="宋体"/>
          <w:color w:val="000000"/>
        </w:rPr>
        <w:t>评标原则</w:t>
      </w:r>
      <w:bookmarkEnd w:id="124"/>
      <w:bookmarkEnd w:id="125"/>
    </w:p>
    <w:p>
      <w:pPr>
        <w:spacing w:line="480" w:lineRule="exact"/>
        <w:ind w:firstLine="480" w:firstLineChars="200"/>
        <w:rPr>
          <w:rFonts w:hAnsi="宋体" w:cs="宋体"/>
          <w:color w:val="000000"/>
          <w:sz w:val="24"/>
          <w:szCs w:val="24"/>
        </w:rPr>
      </w:pPr>
      <w:r>
        <w:rPr>
          <w:rFonts w:hint="eastAsia" w:hAnsi="宋体" w:cs="宋体"/>
          <w:color w:val="000000"/>
          <w:sz w:val="24"/>
          <w:szCs w:val="24"/>
        </w:rPr>
        <w:t>评标活动遵循公平、公正、科学和择优的原则。</w:t>
      </w:r>
    </w:p>
    <w:p>
      <w:pPr>
        <w:pStyle w:val="7"/>
        <w:keepNext w:val="0"/>
        <w:keepLines w:val="0"/>
        <w:spacing w:after="0" w:line="480" w:lineRule="exact"/>
        <w:ind w:firstLine="482" w:firstLineChars="200"/>
        <w:jc w:val="both"/>
        <w:rPr>
          <w:rFonts w:ascii="仿宋_GB2312" w:cs="宋体"/>
          <w:color w:val="000000"/>
        </w:rPr>
      </w:pPr>
      <w:bookmarkStart w:id="126" w:name="_Toc18603071"/>
      <w:bookmarkStart w:id="127" w:name="_Toc26132"/>
      <w:r>
        <w:rPr>
          <w:rFonts w:ascii="仿宋_GB2312" w:cs="宋体"/>
          <w:color w:val="000000"/>
        </w:rPr>
        <w:t xml:space="preserve">6.3 </w:t>
      </w:r>
      <w:r>
        <w:rPr>
          <w:rFonts w:hint="eastAsia" w:ascii="仿宋_GB2312" w:cs="宋体"/>
          <w:color w:val="000000"/>
        </w:rPr>
        <w:t>评标</w:t>
      </w:r>
      <w:bookmarkEnd w:id="126"/>
      <w:bookmarkEnd w:id="127"/>
    </w:p>
    <w:p>
      <w:pPr>
        <w:spacing w:line="480" w:lineRule="exact"/>
        <w:ind w:firstLine="480" w:firstLineChars="200"/>
        <w:rPr>
          <w:rFonts w:hAnsi="宋体" w:cs="宋体"/>
          <w:color w:val="000000"/>
          <w:sz w:val="24"/>
          <w:szCs w:val="24"/>
        </w:rPr>
      </w:pPr>
      <w:r>
        <w:rPr>
          <w:rFonts w:hint="eastAsia" w:hAnsi="宋体" w:cs="宋体"/>
          <w:color w:val="000000"/>
          <w:sz w:val="24"/>
          <w:szCs w:val="24"/>
        </w:rPr>
        <w:t>评标委员会按照第三章“评标办法”规定的方法、评审因素、标准和程序对投标文件进行评审。第三章“评标办法”没有规定的方法、评审因素和标准，不作为评标依据。</w:t>
      </w:r>
    </w:p>
    <w:p>
      <w:pPr>
        <w:pStyle w:val="6"/>
        <w:spacing w:line="480" w:lineRule="exact"/>
        <w:ind w:firstLine="482" w:firstLineChars="200"/>
        <w:jc w:val="both"/>
        <w:rPr>
          <w:rFonts w:ascii="仿宋_GB2312" w:cs="宋体"/>
          <w:color w:val="000000"/>
          <w:sz w:val="24"/>
          <w:szCs w:val="24"/>
        </w:rPr>
      </w:pPr>
      <w:bookmarkStart w:id="128" w:name="_Toc842"/>
      <w:bookmarkStart w:id="129" w:name="_Toc522293512"/>
      <w:bookmarkStart w:id="130" w:name="_Toc24350"/>
      <w:r>
        <w:rPr>
          <w:rFonts w:ascii="仿宋_GB2312" w:cs="宋体"/>
          <w:color w:val="000000"/>
          <w:sz w:val="24"/>
          <w:szCs w:val="24"/>
        </w:rPr>
        <w:t xml:space="preserve">7. </w:t>
      </w:r>
      <w:r>
        <w:rPr>
          <w:rFonts w:hint="eastAsia" w:ascii="仿宋_GB2312" w:cs="宋体"/>
          <w:color w:val="000000"/>
          <w:sz w:val="24"/>
          <w:szCs w:val="24"/>
        </w:rPr>
        <w:t>合同授予</w:t>
      </w:r>
      <w:bookmarkEnd w:id="128"/>
      <w:bookmarkEnd w:id="129"/>
      <w:bookmarkEnd w:id="130"/>
    </w:p>
    <w:p>
      <w:pPr>
        <w:pStyle w:val="7"/>
        <w:keepNext w:val="0"/>
        <w:keepLines w:val="0"/>
        <w:spacing w:after="0" w:line="480" w:lineRule="exact"/>
        <w:ind w:firstLine="482" w:firstLineChars="200"/>
        <w:jc w:val="both"/>
        <w:rPr>
          <w:rFonts w:ascii="仿宋_GB2312" w:cs="宋体"/>
          <w:color w:val="000000"/>
        </w:rPr>
      </w:pPr>
      <w:bookmarkStart w:id="131" w:name="_Toc18603073"/>
      <w:bookmarkStart w:id="132" w:name="_Toc19202"/>
      <w:r>
        <w:rPr>
          <w:rFonts w:ascii="仿宋_GB2312" w:cs="宋体"/>
          <w:color w:val="000000"/>
        </w:rPr>
        <w:t>7.1</w:t>
      </w:r>
      <w:bookmarkEnd w:id="131"/>
      <w:r>
        <w:rPr>
          <w:rFonts w:hint="eastAsia" w:ascii="仿宋_GB2312" w:cs="宋体"/>
          <w:color w:val="000000"/>
        </w:rPr>
        <w:t>评标结果公告</w:t>
      </w:r>
      <w:bookmarkEnd w:id="132"/>
    </w:p>
    <w:p>
      <w:pPr>
        <w:spacing w:line="480" w:lineRule="exact"/>
        <w:ind w:firstLine="480" w:firstLineChars="200"/>
        <w:rPr>
          <w:rFonts w:hAnsi="宋体" w:cs="宋体"/>
          <w:color w:val="000000"/>
          <w:sz w:val="24"/>
          <w:szCs w:val="24"/>
        </w:rPr>
      </w:pPr>
      <w:bookmarkStart w:id="133" w:name="_Toc18603074"/>
      <w:r>
        <w:rPr>
          <w:rFonts w:hAnsi="宋体" w:cs="宋体"/>
          <w:color w:val="000000"/>
          <w:sz w:val="24"/>
          <w:szCs w:val="24"/>
        </w:rPr>
        <w:t>7.1.1 评标结果经审批后在</w:t>
      </w:r>
      <w:r>
        <w:rPr>
          <w:rFonts w:hint="eastAsia" w:hAnsi="宋体" w:cs="宋体"/>
          <w:color w:val="000000"/>
          <w:sz w:val="24"/>
          <w:szCs w:val="24"/>
        </w:rPr>
        <w:t>中国采购与招标网、</w:t>
      </w:r>
      <w:r>
        <w:rPr>
          <w:rFonts w:hAnsi="宋体" w:cs="宋体"/>
          <w:color w:val="000000"/>
          <w:sz w:val="24"/>
          <w:szCs w:val="24"/>
        </w:rPr>
        <w:t>宜昌交通旅游产业发展集团有限公司官网、湖北宜昌交运集团股份有限公司官网公告3个工作日。</w:t>
      </w:r>
    </w:p>
    <w:p>
      <w:pPr>
        <w:spacing w:line="480" w:lineRule="exact"/>
        <w:ind w:firstLine="480" w:firstLineChars="200"/>
        <w:rPr>
          <w:rFonts w:hAnsi="宋体" w:cs="宋体"/>
          <w:color w:val="000000"/>
          <w:sz w:val="24"/>
          <w:szCs w:val="24"/>
        </w:rPr>
      </w:pPr>
      <w:r>
        <w:rPr>
          <w:rFonts w:hAnsi="宋体" w:cs="宋体"/>
          <w:color w:val="000000"/>
          <w:sz w:val="24"/>
          <w:szCs w:val="24"/>
        </w:rPr>
        <w:t>7.1.2 投标人或者其他利害关系人对结果有异议的,应在公告期内以书面形式向招标人提出,招标人将自收到异议之日起3日内作出书面答复,作出答复前,暂停招标 活动；投标人或者其他利害关系人对招标人答复仍持有异议的，应当在收到答复之日起10日内持招标人的答复及投诉书，向上级管理机构提出投诉。投诉处理结束前,暂停招标活动，但暂停时间最长不得超过30日。</w:t>
      </w:r>
    </w:p>
    <w:bookmarkEnd w:id="133"/>
    <w:p>
      <w:pPr>
        <w:pStyle w:val="7"/>
        <w:keepNext w:val="0"/>
        <w:keepLines w:val="0"/>
        <w:spacing w:after="0" w:line="480" w:lineRule="exact"/>
        <w:ind w:firstLine="482" w:firstLineChars="200"/>
        <w:jc w:val="both"/>
        <w:rPr>
          <w:rFonts w:ascii="仿宋_GB2312" w:cs="宋体"/>
          <w:color w:val="000000"/>
        </w:rPr>
      </w:pPr>
      <w:bookmarkStart w:id="134" w:name="_Toc26175"/>
      <w:bookmarkStart w:id="135" w:name="_Toc18603075"/>
      <w:r>
        <w:rPr>
          <w:rFonts w:ascii="仿宋_GB2312" w:cs="宋体"/>
          <w:color w:val="000000"/>
        </w:rPr>
        <w:t xml:space="preserve">7.2 </w:t>
      </w:r>
      <w:r>
        <w:rPr>
          <w:rFonts w:hint="eastAsia" w:ascii="仿宋_GB2312" w:cs="宋体"/>
          <w:color w:val="000000"/>
        </w:rPr>
        <w:t>履约能力的审查（如有）</w:t>
      </w:r>
      <w:bookmarkEnd w:id="134"/>
      <w:bookmarkEnd w:id="135"/>
    </w:p>
    <w:p>
      <w:pPr>
        <w:spacing w:line="480" w:lineRule="exact"/>
        <w:ind w:firstLine="480" w:firstLineChars="200"/>
        <w:rPr>
          <w:rFonts w:hAnsi="宋体" w:cs="宋体"/>
          <w:color w:val="000000"/>
          <w:sz w:val="24"/>
          <w:szCs w:val="24"/>
        </w:rPr>
      </w:pPr>
      <w:r>
        <w:rPr>
          <w:rFonts w:hint="eastAsia" w:hAnsi="宋体" w:cs="宋体"/>
          <w:color w:val="000000"/>
          <w:sz w:val="24"/>
          <w:szCs w:val="24"/>
        </w:rPr>
        <w:t>如果中标候选人的经营、财务状况发生较大变化或者存在违法行为，招标人认为可能影响其履约能力的，将在发出中标通知书前报请行政监督部门后，召集原评标委员会按照招标文件规定的标准和方法审查确认。</w:t>
      </w:r>
    </w:p>
    <w:p>
      <w:pPr>
        <w:pStyle w:val="7"/>
        <w:keepNext w:val="0"/>
        <w:keepLines w:val="0"/>
        <w:spacing w:after="0" w:line="480" w:lineRule="exact"/>
        <w:ind w:firstLine="482" w:firstLineChars="200"/>
        <w:jc w:val="both"/>
        <w:rPr>
          <w:rFonts w:ascii="仿宋_GB2312" w:cs="宋体"/>
          <w:color w:val="000000"/>
        </w:rPr>
      </w:pPr>
      <w:bookmarkStart w:id="136" w:name="_Toc18603076"/>
      <w:bookmarkStart w:id="137" w:name="_Toc3084"/>
      <w:r>
        <w:rPr>
          <w:rFonts w:ascii="仿宋_GB2312" w:cs="宋体"/>
          <w:color w:val="000000"/>
        </w:rPr>
        <w:t>7.3</w:t>
      </w:r>
      <w:r>
        <w:rPr>
          <w:rFonts w:hint="eastAsia" w:ascii="仿宋_GB2312" w:cs="宋体"/>
          <w:color w:val="000000"/>
        </w:rPr>
        <w:t>中标结果公告</w:t>
      </w:r>
      <w:bookmarkEnd w:id="136"/>
      <w:bookmarkEnd w:id="137"/>
    </w:p>
    <w:p>
      <w:pPr>
        <w:spacing w:line="480" w:lineRule="exact"/>
        <w:ind w:firstLine="480" w:firstLineChars="200"/>
        <w:rPr>
          <w:rFonts w:hAnsi="宋体" w:cs="宋体"/>
          <w:color w:val="000000"/>
          <w:sz w:val="24"/>
          <w:szCs w:val="24"/>
        </w:rPr>
      </w:pPr>
      <w:r>
        <w:rPr>
          <w:rFonts w:hAnsi="宋体" w:cs="宋体"/>
          <w:color w:val="000000"/>
          <w:sz w:val="24"/>
          <w:szCs w:val="24"/>
        </w:rPr>
        <w:t>7.3.1</w:t>
      </w:r>
      <w:r>
        <w:rPr>
          <w:rFonts w:hint="eastAsia" w:hAnsi="宋体" w:cs="宋体"/>
          <w:color w:val="000000"/>
          <w:sz w:val="24"/>
          <w:szCs w:val="24"/>
        </w:rPr>
        <w:t>招标人确定中标人后，应及时在网上发布中标结果公告（公告期为</w:t>
      </w:r>
      <w:r>
        <w:rPr>
          <w:rFonts w:hAnsi="宋体" w:cs="宋体"/>
          <w:color w:val="000000"/>
          <w:sz w:val="24"/>
          <w:szCs w:val="24"/>
        </w:rPr>
        <w:t>3</w:t>
      </w:r>
      <w:r>
        <w:rPr>
          <w:rFonts w:hint="eastAsia" w:hAnsi="宋体" w:cs="宋体"/>
          <w:color w:val="000000"/>
          <w:sz w:val="24"/>
          <w:szCs w:val="24"/>
        </w:rPr>
        <w:t>日），告知所有未中标的投标人，并在本章第</w:t>
      </w:r>
      <w:r>
        <w:rPr>
          <w:rFonts w:hAnsi="宋体" w:cs="宋体"/>
          <w:color w:val="000000"/>
          <w:sz w:val="24"/>
          <w:szCs w:val="24"/>
        </w:rPr>
        <w:t>3.3</w:t>
      </w:r>
      <w:r>
        <w:rPr>
          <w:rFonts w:hint="eastAsia" w:hAnsi="宋体" w:cs="宋体"/>
          <w:color w:val="000000"/>
          <w:sz w:val="24"/>
          <w:szCs w:val="24"/>
        </w:rPr>
        <w:t>款规定的投标有效期内，以书面形式向中标人发出中标通知书。</w:t>
      </w:r>
    </w:p>
    <w:p>
      <w:pPr>
        <w:pStyle w:val="7"/>
        <w:keepNext w:val="0"/>
        <w:keepLines w:val="0"/>
        <w:spacing w:after="0" w:line="480" w:lineRule="exact"/>
        <w:ind w:firstLine="482" w:firstLineChars="200"/>
        <w:jc w:val="both"/>
        <w:rPr>
          <w:rFonts w:ascii="仿宋_GB2312" w:cs="宋体"/>
          <w:color w:val="000000"/>
        </w:rPr>
      </w:pPr>
      <w:bookmarkStart w:id="138" w:name="_Toc18603077"/>
      <w:bookmarkStart w:id="139" w:name="_Toc2057"/>
      <w:r>
        <w:rPr>
          <w:rFonts w:ascii="仿宋_GB2312" w:cs="宋体"/>
          <w:color w:val="000000"/>
        </w:rPr>
        <w:t xml:space="preserve">7.4 </w:t>
      </w:r>
      <w:r>
        <w:rPr>
          <w:rFonts w:hint="eastAsia" w:ascii="仿宋_GB2312" w:cs="宋体"/>
          <w:color w:val="000000"/>
        </w:rPr>
        <w:t>履约保证金</w:t>
      </w:r>
      <w:bookmarkEnd w:id="138"/>
      <w:bookmarkEnd w:id="139"/>
    </w:p>
    <w:p>
      <w:pPr>
        <w:spacing w:line="480" w:lineRule="exact"/>
        <w:ind w:firstLine="480" w:firstLineChars="200"/>
        <w:rPr>
          <w:rFonts w:hAnsi="宋体" w:cs="宋体"/>
          <w:sz w:val="24"/>
          <w:szCs w:val="24"/>
        </w:rPr>
      </w:pPr>
      <w:bookmarkStart w:id="140" w:name="_Toc18603078"/>
      <w:r>
        <w:rPr>
          <w:rFonts w:hint="eastAsia" w:hAnsi="宋体" w:cs="宋体"/>
          <w:kern w:val="0"/>
          <w:sz w:val="24"/>
          <w:szCs w:val="24"/>
        </w:rPr>
        <w:t>中标金额的1</w:t>
      </w:r>
      <w:r>
        <w:rPr>
          <w:rFonts w:hAnsi="宋体" w:cs="宋体"/>
          <w:kern w:val="0"/>
          <w:sz w:val="24"/>
          <w:szCs w:val="24"/>
        </w:rPr>
        <w:t>0</w:t>
      </w:r>
      <w:r>
        <w:rPr>
          <w:rFonts w:hint="eastAsia" w:hAnsi="宋体" w:cs="宋体"/>
          <w:kern w:val="0"/>
          <w:sz w:val="24"/>
          <w:szCs w:val="24"/>
        </w:rPr>
        <w:t>%，现金支付或银行保函。</w:t>
      </w:r>
    </w:p>
    <w:p>
      <w:pPr>
        <w:pStyle w:val="7"/>
        <w:keepNext w:val="0"/>
        <w:keepLines w:val="0"/>
        <w:spacing w:after="0" w:line="480" w:lineRule="exact"/>
        <w:ind w:firstLine="482" w:firstLineChars="200"/>
        <w:jc w:val="both"/>
        <w:rPr>
          <w:rFonts w:ascii="仿宋_GB2312" w:cs="宋体"/>
          <w:color w:val="000000"/>
        </w:rPr>
      </w:pPr>
      <w:bookmarkStart w:id="141" w:name="_Toc4118"/>
      <w:r>
        <w:rPr>
          <w:rFonts w:ascii="仿宋_GB2312" w:cs="宋体"/>
          <w:color w:val="000000"/>
        </w:rPr>
        <w:t xml:space="preserve">7.5 </w:t>
      </w:r>
      <w:r>
        <w:rPr>
          <w:rFonts w:hint="eastAsia" w:ascii="仿宋_GB2312" w:cs="宋体"/>
          <w:color w:val="000000"/>
        </w:rPr>
        <w:t>签订合同</w:t>
      </w:r>
      <w:bookmarkEnd w:id="140"/>
      <w:bookmarkEnd w:id="141"/>
    </w:p>
    <w:p>
      <w:pPr>
        <w:spacing w:line="480" w:lineRule="exact"/>
        <w:ind w:firstLine="480" w:firstLineChars="200"/>
        <w:rPr>
          <w:rFonts w:hAnsi="宋体" w:cs="宋体"/>
          <w:color w:val="000000"/>
          <w:sz w:val="24"/>
          <w:szCs w:val="24"/>
        </w:rPr>
      </w:pPr>
      <w:r>
        <w:rPr>
          <w:rFonts w:hAnsi="宋体" w:cs="宋体"/>
          <w:color w:val="000000"/>
          <w:sz w:val="24"/>
          <w:szCs w:val="24"/>
        </w:rPr>
        <w:t xml:space="preserve">7.5.1 </w:t>
      </w:r>
      <w:r>
        <w:rPr>
          <w:rFonts w:hint="eastAsia" w:hAnsi="宋体" w:cs="宋体"/>
          <w:color w:val="000000"/>
          <w:sz w:val="24"/>
          <w:szCs w:val="24"/>
        </w:rPr>
        <w:t>招标人和中标人应当在投标有效期内并自中标通知书发出之日起</w:t>
      </w:r>
      <w:r>
        <w:rPr>
          <w:rFonts w:hAnsi="宋体" w:cs="宋体"/>
          <w:color w:val="000000"/>
          <w:sz w:val="24"/>
          <w:szCs w:val="24"/>
        </w:rPr>
        <w:t>30</w:t>
      </w:r>
      <w:r>
        <w:rPr>
          <w:rFonts w:hint="eastAsia" w:hAnsi="宋体" w:cs="宋体"/>
          <w:color w:val="000000"/>
          <w:sz w:val="24"/>
          <w:szCs w:val="24"/>
        </w:rPr>
        <w:t>日内，根据招标文件和中标人的投标文件订立书面合同。中标人无正当理由拒签合同或在签订合同时向招标人提出附加条件的，招标人取消其中标资格；给招标人造成的损失，中标人还应当予以赔偿。</w:t>
      </w:r>
      <w:r>
        <w:rPr>
          <w:rFonts w:hAnsi="宋体" w:cs="宋体"/>
          <w:color w:val="000000"/>
          <w:sz w:val="24"/>
          <w:szCs w:val="24"/>
        </w:rPr>
        <w:t xml:space="preserve"> </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7.5.2 </w:t>
      </w:r>
      <w:r>
        <w:rPr>
          <w:rFonts w:hint="eastAsia" w:hAnsi="宋体" w:cs="宋体"/>
          <w:color w:val="000000"/>
          <w:sz w:val="24"/>
          <w:szCs w:val="24"/>
        </w:rPr>
        <w:t>发出中标通知书后，因招标人无正当理由拒签合同给中标人造成损失的，还应当赔偿损失。</w:t>
      </w:r>
    </w:p>
    <w:p>
      <w:pPr>
        <w:spacing w:line="480" w:lineRule="exact"/>
        <w:ind w:firstLine="480" w:firstLineChars="200"/>
        <w:rPr>
          <w:rFonts w:hAnsi="宋体" w:cs="宋体"/>
          <w:color w:val="000000"/>
          <w:sz w:val="24"/>
          <w:szCs w:val="24"/>
        </w:rPr>
      </w:pPr>
      <w:r>
        <w:rPr>
          <w:rFonts w:hAnsi="宋体" w:cs="宋体"/>
          <w:color w:val="000000"/>
          <w:sz w:val="24"/>
          <w:szCs w:val="24"/>
        </w:rPr>
        <w:t xml:space="preserve">7.5.3 </w:t>
      </w:r>
      <w:r>
        <w:rPr>
          <w:rFonts w:hint="eastAsia" w:hAnsi="宋体" w:cs="宋体"/>
          <w:color w:val="000000"/>
          <w:sz w:val="24"/>
          <w:szCs w:val="24"/>
        </w:rPr>
        <w:t>签约合同价的确定原则如下：</w:t>
      </w:r>
    </w:p>
    <w:p>
      <w:pPr>
        <w:spacing w:line="480" w:lineRule="exact"/>
        <w:ind w:firstLine="480" w:firstLineChars="200"/>
        <w:rPr>
          <w:rFonts w:hAnsi="宋体" w:cs="宋体"/>
          <w:color w:val="000000"/>
          <w:sz w:val="24"/>
          <w:szCs w:val="24"/>
        </w:rPr>
      </w:pPr>
      <w:r>
        <w:rPr>
          <w:rFonts w:hint="eastAsia" w:hAnsi="宋体" w:cs="宋体"/>
          <w:color w:val="000000"/>
          <w:sz w:val="24"/>
          <w:szCs w:val="24"/>
        </w:rPr>
        <w:t>开标时投标函中大写投标总价应为签约合同价。按照第三章“评标办法”的规定，如投标报价有算术错误的，修正的价格经投标人书面确认后，以修正后的投标总价为签约合同价。</w:t>
      </w:r>
    </w:p>
    <w:p>
      <w:pPr>
        <w:pStyle w:val="6"/>
        <w:spacing w:line="480" w:lineRule="exact"/>
        <w:ind w:left="420" w:firstLine="120" w:firstLineChars="50"/>
        <w:jc w:val="both"/>
        <w:rPr>
          <w:rFonts w:ascii="仿宋_GB2312" w:cs="宋体"/>
          <w:color w:val="000000"/>
          <w:sz w:val="24"/>
          <w:szCs w:val="24"/>
        </w:rPr>
      </w:pPr>
      <w:bookmarkStart w:id="142" w:name="_Toc30541"/>
      <w:bookmarkStart w:id="143" w:name="_Toc522293514"/>
      <w:bookmarkStart w:id="144" w:name="_Toc12079"/>
      <w:r>
        <w:rPr>
          <w:rFonts w:ascii="仿宋_GB2312" w:cs="宋体"/>
          <w:color w:val="000000"/>
          <w:sz w:val="24"/>
          <w:szCs w:val="24"/>
        </w:rPr>
        <w:t>8.重新招标、不再招标和终止招标</w:t>
      </w:r>
      <w:bookmarkEnd w:id="142"/>
    </w:p>
    <w:p>
      <w:pPr>
        <w:pStyle w:val="7"/>
        <w:keepNext w:val="0"/>
        <w:keepLines w:val="0"/>
        <w:spacing w:after="0" w:line="480" w:lineRule="exact"/>
        <w:ind w:firstLine="482" w:firstLineChars="200"/>
        <w:jc w:val="both"/>
        <w:rPr>
          <w:rFonts w:ascii="仿宋_GB2312" w:cs="宋体"/>
          <w:color w:val="000000"/>
        </w:rPr>
      </w:pPr>
      <w:bookmarkStart w:id="145" w:name="_Toc10560"/>
      <w:r>
        <w:rPr>
          <w:rFonts w:ascii="仿宋_GB2312" w:cs="宋体"/>
          <w:color w:val="000000"/>
        </w:rPr>
        <w:t xml:space="preserve">8.1 </w:t>
      </w:r>
      <w:r>
        <w:rPr>
          <w:rFonts w:hint="eastAsia" w:ascii="仿宋_GB2312" w:cs="宋体"/>
          <w:color w:val="000000"/>
        </w:rPr>
        <w:t>重新招标</w:t>
      </w:r>
      <w:bookmarkEnd w:id="145"/>
    </w:p>
    <w:p>
      <w:pPr>
        <w:spacing w:line="480" w:lineRule="exact"/>
        <w:ind w:left="420" w:firstLine="60" w:firstLineChars="25"/>
        <w:rPr>
          <w:rFonts w:hAnsi="宋体" w:cs="宋体"/>
          <w:color w:val="000000"/>
          <w:sz w:val="24"/>
          <w:szCs w:val="24"/>
        </w:rPr>
      </w:pPr>
      <w:r>
        <w:rPr>
          <w:rFonts w:hAnsi="宋体" w:cs="宋体"/>
          <w:color w:val="000000"/>
          <w:sz w:val="24"/>
          <w:szCs w:val="24"/>
        </w:rPr>
        <w:t>8.1.1有下列情形之一的，招标人将重新招标：</w:t>
      </w:r>
      <w:r>
        <w:rPr>
          <w:rFonts w:hAnsi="宋体" w:cs="宋体"/>
          <w:color w:val="000000"/>
          <w:sz w:val="24"/>
          <w:szCs w:val="24"/>
        </w:rPr>
        <w:br w:type="textWrapping"/>
      </w:r>
      <w:r>
        <w:rPr>
          <w:rFonts w:hAnsi="宋体" w:cs="宋体"/>
          <w:color w:val="000000"/>
          <w:sz w:val="24"/>
          <w:szCs w:val="24"/>
        </w:rPr>
        <w:t>（1）投标截止时间止，投标人少于3个的；</w:t>
      </w:r>
      <w:r>
        <w:rPr>
          <w:rFonts w:hAnsi="宋体" w:cs="宋体"/>
          <w:color w:val="000000"/>
          <w:sz w:val="24"/>
          <w:szCs w:val="24"/>
        </w:rPr>
        <w:br w:type="textWrapping"/>
      </w:r>
      <w:r>
        <w:rPr>
          <w:rFonts w:hAnsi="宋体" w:cs="宋体"/>
          <w:color w:val="000000"/>
          <w:sz w:val="24"/>
          <w:szCs w:val="24"/>
        </w:rPr>
        <w:t>（2）经评标委员会评审后否决所有投标的；</w:t>
      </w:r>
      <w:r>
        <w:rPr>
          <w:rFonts w:hAnsi="宋体" w:cs="宋体"/>
          <w:color w:val="000000"/>
          <w:sz w:val="24"/>
          <w:szCs w:val="24"/>
        </w:rPr>
        <w:br w:type="textWrapping"/>
      </w:r>
      <w:r>
        <w:rPr>
          <w:rFonts w:hAnsi="宋体" w:cs="宋体"/>
          <w:color w:val="000000"/>
          <w:sz w:val="24"/>
          <w:szCs w:val="24"/>
        </w:rPr>
        <w:t>（3）除非已经产生中标候选人，在投标有效期内同意延长投标有效期的投标人少于三个的；</w:t>
      </w:r>
      <w:r>
        <w:rPr>
          <w:rFonts w:hAnsi="宋体" w:cs="宋体"/>
          <w:color w:val="000000"/>
          <w:sz w:val="24"/>
          <w:szCs w:val="24"/>
        </w:rPr>
        <w:br w:type="textWrapping"/>
      </w:r>
      <w:r>
        <w:rPr>
          <w:rFonts w:hAnsi="宋体" w:cs="宋体"/>
          <w:color w:val="000000"/>
          <w:sz w:val="24"/>
          <w:szCs w:val="24"/>
        </w:rPr>
        <w:t>（4）第一中标候选人或所有中标候选人均未与招标人签订合同的；</w:t>
      </w:r>
      <w:r>
        <w:rPr>
          <w:rFonts w:hAnsi="宋体" w:cs="宋体"/>
          <w:color w:val="000000"/>
          <w:sz w:val="24"/>
          <w:szCs w:val="24"/>
        </w:rPr>
        <w:br w:type="textWrapping"/>
      </w:r>
      <w:r>
        <w:rPr>
          <w:rFonts w:hAnsi="宋体" w:cs="宋体"/>
          <w:color w:val="000000"/>
          <w:sz w:val="24"/>
          <w:szCs w:val="24"/>
        </w:rPr>
        <w:t>（5）法律、法规规定的其他情形。</w:t>
      </w:r>
    </w:p>
    <w:p>
      <w:pPr>
        <w:spacing w:line="480" w:lineRule="exact"/>
        <w:ind w:left="420" w:firstLine="60" w:firstLineChars="25"/>
        <w:rPr>
          <w:rFonts w:hAnsi="宋体" w:cs="宋体"/>
          <w:color w:val="000000"/>
          <w:sz w:val="24"/>
          <w:szCs w:val="24"/>
        </w:rPr>
      </w:pPr>
      <w:r>
        <w:rPr>
          <w:rFonts w:hAnsi="宋体" w:cs="宋体"/>
          <w:color w:val="000000"/>
          <w:sz w:val="24"/>
          <w:szCs w:val="24"/>
        </w:rPr>
        <w:t>8.1.2 重新招标后投标人仍少于3个或者所有投标被否决的，招标人将采用竞争性谈判的方式采购。</w:t>
      </w:r>
    </w:p>
    <w:p>
      <w:pPr>
        <w:pStyle w:val="7"/>
        <w:keepNext w:val="0"/>
        <w:keepLines w:val="0"/>
        <w:spacing w:after="0" w:line="480" w:lineRule="exact"/>
        <w:ind w:firstLine="482" w:firstLineChars="200"/>
        <w:jc w:val="both"/>
        <w:rPr>
          <w:rFonts w:ascii="仿宋_GB2312" w:cs="宋体"/>
          <w:color w:val="000000"/>
        </w:rPr>
      </w:pPr>
      <w:bookmarkStart w:id="146" w:name="_Toc27538"/>
      <w:r>
        <w:rPr>
          <w:rFonts w:ascii="仿宋_GB2312" w:cs="宋体"/>
          <w:color w:val="000000"/>
        </w:rPr>
        <w:t>8.2 不再招标</w:t>
      </w:r>
      <w:bookmarkEnd w:id="146"/>
    </w:p>
    <w:p>
      <w:pPr>
        <w:spacing w:line="480" w:lineRule="exact"/>
        <w:ind w:firstLine="480" w:firstLineChars="200"/>
      </w:pPr>
      <w:r>
        <w:rPr>
          <w:rFonts w:hint="eastAsia" w:cs="宋体"/>
          <w:bCs/>
          <w:color w:val="000000"/>
          <w:sz w:val="24"/>
          <w:szCs w:val="24"/>
        </w:rPr>
        <w:t>采用竞争性谈判人仍然失败的，经领导批准后可不再进行招标。</w:t>
      </w:r>
    </w:p>
    <w:p>
      <w:pPr>
        <w:pStyle w:val="7"/>
        <w:keepNext w:val="0"/>
        <w:keepLines w:val="0"/>
        <w:spacing w:after="0" w:line="480" w:lineRule="exact"/>
        <w:ind w:firstLine="482" w:firstLineChars="200"/>
        <w:jc w:val="both"/>
        <w:rPr>
          <w:rFonts w:ascii="仿宋_GB2312" w:cs="宋体"/>
          <w:color w:val="000000"/>
        </w:rPr>
      </w:pPr>
      <w:bookmarkStart w:id="147" w:name="_Toc12107"/>
      <w:r>
        <w:rPr>
          <w:rFonts w:ascii="仿宋_GB2312" w:cs="宋体"/>
          <w:color w:val="000000"/>
        </w:rPr>
        <w:t>8.3 终止招标</w:t>
      </w:r>
      <w:bookmarkEnd w:id="147"/>
    </w:p>
    <w:p>
      <w:pPr>
        <w:pStyle w:val="237"/>
        <w:spacing w:line="480" w:lineRule="exact"/>
        <w:ind w:firstLine="480" w:firstLineChars="200"/>
        <w:rPr>
          <w:rFonts w:cs="宋体"/>
          <w:bCs/>
          <w:color w:val="000000"/>
          <w:sz w:val="24"/>
          <w:szCs w:val="24"/>
        </w:rPr>
      </w:pPr>
      <w:r>
        <w:rPr>
          <w:rFonts w:hint="eastAsia" w:cs="宋体"/>
          <w:bCs/>
          <w:color w:val="000000"/>
          <w:sz w:val="24"/>
          <w:szCs w:val="24"/>
        </w:rPr>
        <w:t>因不可抗力等原因，招标人终止招标的，将及时发布公告，或者以书面形式通知已经获取招标文件的潜在投标人。</w:t>
      </w:r>
    </w:p>
    <w:p>
      <w:pPr>
        <w:pStyle w:val="6"/>
        <w:spacing w:line="480" w:lineRule="exact"/>
        <w:ind w:firstLine="482" w:firstLineChars="200"/>
        <w:jc w:val="both"/>
        <w:rPr>
          <w:rFonts w:ascii="仿宋_GB2312" w:cs="宋体"/>
          <w:color w:val="000000"/>
          <w:sz w:val="24"/>
          <w:szCs w:val="24"/>
        </w:rPr>
      </w:pPr>
      <w:bookmarkStart w:id="148" w:name="_Toc19074"/>
      <w:r>
        <w:rPr>
          <w:rFonts w:ascii="仿宋_GB2312" w:cs="宋体"/>
          <w:color w:val="000000"/>
          <w:sz w:val="24"/>
          <w:szCs w:val="24"/>
        </w:rPr>
        <w:t xml:space="preserve">9. </w:t>
      </w:r>
      <w:r>
        <w:rPr>
          <w:rFonts w:hint="eastAsia" w:ascii="仿宋_GB2312" w:cs="宋体"/>
          <w:color w:val="000000"/>
          <w:sz w:val="24"/>
          <w:szCs w:val="24"/>
        </w:rPr>
        <w:t>纪律和监督</w:t>
      </w:r>
      <w:bookmarkEnd w:id="143"/>
      <w:bookmarkEnd w:id="144"/>
      <w:bookmarkEnd w:id="148"/>
    </w:p>
    <w:p>
      <w:pPr>
        <w:pStyle w:val="7"/>
        <w:keepNext w:val="0"/>
        <w:keepLines w:val="0"/>
        <w:spacing w:after="0" w:line="480" w:lineRule="exact"/>
        <w:ind w:firstLine="482" w:firstLineChars="200"/>
        <w:jc w:val="both"/>
        <w:rPr>
          <w:rFonts w:ascii="仿宋_GB2312" w:cs="宋体"/>
          <w:color w:val="000000"/>
        </w:rPr>
      </w:pPr>
      <w:bookmarkStart w:id="149" w:name="_Toc18603084"/>
      <w:bookmarkStart w:id="150" w:name="_Toc29284"/>
      <w:r>
        <w:rPr>
          <w:rFonts w:ascii="仿宋_GB2312" w:cs="宋体"/>
          <w:color w:val="000000"/>
        </w:rPr>
        <w:t xml:space="preserve">9.1 </w:t>
      </w:r>
      <w:r>
        <w:rPr>
          <w:rFonts w:hint="eastAsia" w:ascii="仿宋_GB2312" w:cs="宋体"/>
          <w:color w:val="000000"/>
        </w:rPr>
        <w:t>对招标人的纪律要求</w:t>
      </w:r>
      <w:bookmarkEnd w:id="149"/>
      <w:bookmarkEnd w:id="150"/>
    </w:p>
    <w:p>
      <w:pPr>
        <w:spacing w:line="480" w:lineRule="exact"/>
        <w:ind w:firstLine="480" w:firstLineChars="200"/>
        <w:rPr>
          <w:rFonts w:hAnsi="宋体" w:cs="宋体"/>
          <w:color w:val="000000"/>
          <w:sz w:val="24"/>
          <w:szCs w:val="24"/>
        </w:rPr>
      </w:pPr>
      <w:r>
        <w:rPr>
          <w:rFonts w:hint="eastAsia" w:hAnsi="宋体" w:cs="宋体"/>
          <w:color w:val="000000"/>
          <w:sz w:val="24"/>
          <w:szCs w:val="24"/>
        </w:rPr>
        <w:t>招标人不得泄漏招标投标活动中应当保密的情况和资料，不得与投标人串通损害国家利益、社会公共利益或者他人合法权益。</w:t>
      </w:r>
    </w:p>
    <w:p>
      <w:pPr>
        <w:pStyle w:val="7"/>
        <w:keepNext w:val="0"/>
        <w:keepLines w:val="0"/>
        <w:spacing w:after="0" w:line="480" w:lineRule="exact"/>
        <w:ind w:firstLine="482" w:firstLineChars="200"/>
        <w:jc w:val="both"/>
        <w:rPr>
          <w:rFonts w:ascii="仿宋_GB2312" w:cs="宋体"/>
          <w:color w:val="000000"/>
        </w:rPr>
      </w:pPr>
      <w:bookmarkStart w:id="151" w:name="_Toc18462"/>
      <w:bookmarkStart w:id="152" w:name="_Toc18603085"/>
      <w:r>
        <w:rPr>
          <w:rFonts w:ascii="仿宋_GB2312" w:cs="宋体"/>
          <w:color w:val="000000"/>
        </w:rPr>
        <w:t xml:space="preserve">9.2 </w:t>
      </w:r>
      <w:r>
        <w:rPr>
          <w:rFonts w:hint="eastAsia" w:ascii="仿宋_GB2312" w:cs="宋体"/>
          <w:color w:val="000000"/>
        </w:rPr>
        <w:t>对投标人的纪律要求</w:t>
      </w:r>
      <w:bookmarkEnd w:id="151"/>
      <w:bookmarkEnd w:id="152"/>
    </w:p>
    <w:p>
      <w:pPr>
        <w:spacing w:line="480" w:lineRule="exact"/>
        <w:ind w:firstLine="480" w:firstLineChars="200"/>
        <w:rPr>
          <w:rFonts w:hAnsi="宋体" w:cs="宋体"/>
          <w:color w:val="000000"/>
          <w:sz w:val="24"/>
          <w:szCs w:val="24"/>
        </w:rPr>
      </w:pPr>
      <w:r>
        <w:rPr>
          <w:rFonts w:hint="eastAsia" w:hAnsi="宋体" w:cs="宋体"/>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7"/>
        <w:keepNext w:val="0"/>
        <w:keepLines w:val="0"/>
        <w:spacing w:after="0" w:line="480" w:lineRule="exact"/>
        <w:ind w:firstLine="482" w:firstLineChars="200"/>
        <w:jc w:val="both"/>
        <w:rPr>
          <w:rFonts w:ascii="仿宋_GB2312" w:cs="宋体"/>
          <w:color w:val="000000"/>
        </w:rPr>
      </w:pPr>
      <w:bookmarkStart w:id="153" w:name="_Toc18603086"/>
      <w:bookmarkStart w:id="154" w:name="_Toc28929"/>
      <w:r>
        <w:rPr>
          <w:rFonts w:ascii="仿宋_GB2312" w:cs="宋体"/>
          <w:color w:val="000000"/>
        </w:rPr>
        <w:t xml:space="preserve">9.3 </w:t>
      </w:r>
      <w:r>
        <w:rPr>
          <w:rFonts w:hint="eastAsia" w:ascii="仿宋_GB2312" w:cs="宋体"/>
          <w:color w:val="000000"/>
        </w:rPr>
        <w:t>对评标委员会成员的纪律要求</w:t>
      </w:r>
      <w:bookmarkEnd w:id="153"/>
      <w:bookmarkEnd w:id="154"/>
    </w:p>
    <w:p>
      <w:pPr>
        <w:spacing w:line="480" w:lineRule="exact"/>
        <w:ind w:firstLine="480" w:firstLineChars="200"/>
        <w:rPr>
          <w:rFonts w:hAnsi="宋体" w:cs="宋体"/>
          <w:color w:val="000000"/>
          <w:sz w:val="24"/>
          <w:szCs w:val="24"/>
        </w:rPr>
      </w:pPr>
      <w:r>
        <w:rPr>
          <w:rFonts w:hint="eastAsia" w:hAnsi="宋体" w:cs="宋体"/>
          <w:color w:val="000000"/>
          <w:sz w:val="24"/>
          <w:szCs w:val="24"/>
        </w:rPr>
        <w:t>评标委员会成员不得与任何投标人或者与招标结果有利害关系的人进行私下接触，不得收受投标人、中介人、其他利害关系人的财物或者其他好处，不得向他人透漏对投标文件的评审和比较、中标候选人的推荐情况以及评标有关的其他情况。在评标活动中，评标委员会成员不得应当回避而不回避，不得擅离职守，影响评标程序正常进行，不得向招标人征询其确定中标人的意向，不得接受任何单位或者个人明示或者暗示提出的倾向或者排斥特定投标人的要求，不得对依法应当否决的投标不提出否决意见，不得暗示或者诱导投标人作出澄清、说明或者接受投标人主动提出的澄清、说明；不得使用第三章“评标办法”没有规定的评审因素和标准进行评标。</w:t>
      </w:r>
    </w:p>
    <w:p>
      <w:pPr>
        <w:pStyle w:val="7"/>
        <w:keepNext w:val="0"/>
        <w:keepLines w:val="0"/>
        <w:spacing w:after="0" w:line="480" w:lineRule="exact"/>
        <w:ind w:firstLine="482" w:firstLineChars="200"/>
        <w:jc w:val="both"/>
        <w:rPr>
          <w:rFonts w:ascii="仿宋_GB2312" w:cs="宋体"/>
          <w:color w:val="000000"/>
        </w:rPr>
      </w:pPr>
      <w:bookmarkStart w:id="155" w:name="_Toc18603087"/>
      <w:bookmarkStart w:id="156" w:name="_Toc397"/>
      <w:r>
        <w:rPr>
          <w:rFonts w:ascii="仿宋_GB2312" w:cs="宋体"/>
          <w:color w:val="000000"/>
        </w:rPr>
        <w:t xml:space="preserve">9.4 </w:t>
      </w:r>
      <w:r>
        <w:rPr>
          <w:rFonts w:hint="eastAsia" w:ascii="仿宋_GB2312" w:cs="宋体"/>
          <w:color w:val="000000"/>
        </w:rPr>
        <w:t>对与评标活动有关的工作人员的纪律要求</w:t>
      </w:r>
      <w:bookmarkEnd w:id="155"/>
      <w:bookmarkEnd w:id="156"/>
    </w:p>
    <w:p>
      <w:pPr>
        <w:spacing w:line="480" w:lineRule="exact"/>
        <w:ind w:firstLine="480" w:firstLineChars="200"/>
        <w:rPr>
          <w:rFonts w:hAnsi="宋体" w:cs="宋体"/>
          <w:color w:val="000000"/>
          <w:sz w:val="24"/>
          <w:szCs w:val="24"/>
        </w:rPr>
      </w:pPr>
      <w:r>
        <w:rPr>
          <w:rFonts w:hint="eastAsia" w:hAnsi="宋体" w:cs="宋体"/>
          <w:color w:val="000000"/>
          <w:sz w:val="24"/>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pStyle w:val="7"/>
        <w:keepNext w:val="0"/>
        <w:keepLines w:val="0"/>
        <w:spacing w:after="0" w:line="480" w:lineRule="exact"/>
        <w:ind w:firstLine="482" w:firstLineChars="200"/>
        <w:jc w:val="both"/>
        <w:rPr>
          <w:rFonts w:ascii="仿宋_GB2312" w:cs="宋体"/>
          <w:color w:val="000000"/>
        </w:rPr>
      </w:pPr>
      <w:bookmarkStart w:id="157" w:name="_Toc20986"/>
      <w:bookmarkStart w:id="158" w:name="_Toc18603088"/>
      <w:r>
        <w:rPr>
          <w:rFonts w:ascii="仿宋_GB2312" w:cs="宋体"/>
          <w:color w:val="000000"/>
        </w:rPr>
        <w:t xml:space="preserve">9.5 </w:t>
      </w:r>
      <w:r>
        <w:rPr>
          <w:rFonts w:hint="eastAsia" w:ascii="仿宋_GB2312" w:cs="宋体"/>
          <w:color w:val="000000"/>
        </w:rPr>
        <w:t>投诉</w:t>
      </w:r>
      <w:bookmarkEnd w:id="157"/>
      <w:bookmarkEnd w:id="158"/>
    </w:p>
    <w:p>
      <w:pPr>
        <w:spacing w:line="480" w:lineRule="exact"/>
        <w:ind w:firstLine="480" w:firstLineChars="200"/>
        <w:rPr>
          <w:rFonts w:hAnsi="宋体" w:cs="宋体"/>
          <w:color w:val="000000"/>
          <w:sz w:val="24"/>
          <w:szCs w:val="24"/>
        </w:rPr>
      </w:pPr>
      <w:r>
        <w:rPr>
          <w:rFonts w:hint="eastAsia" w:hAnsi="宋体" w:cs="宋体"/>
          <w:color w:val="000000"/>
          <w:sz w:val="24"/>
          <w:szCs w:val="24"/>
        </w:rPr>
        <w:t>本次招标投标活动及其相关当事人应当接受宜昌交运集团纪检部门监督执行。</w:t>
      </w:r>
    </w:p>
    <w:p>
      <w:pPr>
        <w:pStyle w:val="6"/>
        <w:spacing w:line="480" w:lineRule="exact"/>
        <w:ind w:firstLine="482" w:firstLineChars="200"/>
        <w:jc w:val="both"/>
        <w:rPr>
          <w:rFonts w:ascii="仿宋_GB2312" w:cs="宋体"/>
          <w:color w:val="000000"/>
          <w:sz w:val="24"/>
          <w:szCs w:val="24"/>
        </w:rPr>
      </w:pPr>
      <w:bookmarkStart w:id="159" w:name="_Toc10190"/>
      <w:bookmarkStart w:id="160" w:name="_Toc12147"/>
      <w:bookmarkStart w:id="161" w:name="_Toc522293515"/>
      <w:r>
        <w:rPr>
          <w:rFonts w:ascii="仿宋_GB2312" w:cs="宋体"/>
          <w:color w:val="000000"/>
          <w:sz w:val="24"/>
          <w:szCs w:val="24"/>
        </w:rPr>
        <w:t xml:space="preserve">10. </w:t>
      </w:r>
      <w:r>
        <w:rPr>
          <w:rFonts w:hint="eastAsia" w:ascii="仿宋_GB2312" w:cs="宋体"/>
          <w:color w:val="000000"/>
          <w:sz w:val="24"/>
          <w:szCs w:val="24"/>
        </w:rPr>
        <w:t>需要补充的其他内容</w:t>
      </w:r>
      <w:bookmarkEnd w:id="159"/>
      <w:bookmarkEnd w:id="160"/>
      <w:bookmarkEnd w:id="161"/>
    </w:p>
    <w:p>
      <w:pPr>
        <w:pStyle w:val="7"/>
        <w:keepNext w:val="0"/>
        <w:keepLines w:val="0"/>
        <w:spacing w:after="0" w:line="480" w:lineRule="exact"/>
        <w:ind w:firstLine="482" w:firstLineChars="200"/>
        <w:jc w:val="both"/>
        <w:rPr>
          <w:rFonts w:ascii="仿宋_GB2312" w:cs="宋体"/>
          <w:color w:val="000000"/>
        </w:rPr>
      </w:pPr>
      <w:bookmarkStart w:id="162" w:name="_Toc18603090"/>
      <w:bookmarkStart w:id="163" w:name="_Toc27645"/>
      <w:r>
        <w:rPr>
          <w:rFonts w:ascii="仿宋_GB2312" w:cs="宋体"/>
          <w:color w:val="000000"/>
        </w:rPr>
        <w:t xml:space="preserve">10.1 </w:t>
      </w:r>
      <w:r>
        <w:rPr>
          <w:rFonts w:hint="eastAsia" w:ascii="仿宋_GB2312" w:cs="宋体"/>
          <w:color w:val="000000"/>
        </w:rPr>
        <w:t>多标段投标</w:t>
      </w:r>
      <w:bookmarkEnd w:id="162"/>
      <w:bookmarkEnd w:id="163"/>
    </w:p>
    <w:p>
      <w:pPr>
        <w:spacing w:line="480" w:lineRule="exact"/>
        <w:ind w:firstLine="480" w:firstLineChars="200"/>
        <w:rPr>
          <w:rFonts w:hAnsi="宋体" w:cs="宋体"/>
          <w:color w:val="000000"/>
          <w:sz w:val="24"/>
          <w:szCs w:val="24"/>
        </w:rPr>
      </w:pPr>
      <w:r>
        <w:rPr>
          <w:rFonts w:hint="eastAsia" w:hAnsi="宋体" w:cs="宋体"/>
          <w:color w:val="000000"/>
          <w:sz w:val="24"/>
          <w:szCs w:val="24"/>
        </w:rPr>
        <w:t>多标段投标规定：见投标人须知前附表。</w:t>
      </w:r>
    </w:p>
    <w:p>
      <w:pPr>
        <w:pStyle w:val="7"/>
        <w:keepNext w:val="0"/>
        <w:keepLines w:val="0"/>
        <w:spacing w:after="0" w:line="480" w:lineRule="exact"/>
        <w:ind w:firstLine="482" w:firstLineChars="200"/>
        <w:jc w:val="both"/>
        <w:rPr>
          <w:rFonts w:ascii="仿宋_GB2312" w:cs="宋体"/>
          <w:color w:val="000000"/>
        </w:rPr>
      </w:pPr>
      <w:bookmarkStart w:id="164" w:name="_Toc18603091"/>
      <w:bookmarkStart w:id="165" w:name="_Toc13296"/>
      <w:r>
        <w:rPr>
          <w:rFonts w:ascii="仿宋_GB2312" w:cs="宋体"/>
          <w:color w:val="000000"/>
        </w:rPr>
        <w:t xml:space="preserve">10.2 </w:t>
      </w:r>
      <w:r>
        <w:rPr>
          <w:rFonts w:hint="eastAsia" w:ascii="仿宋_GB2312" w:cs="宋体"/>
          <w:color w:val="000000"/>
        </w:rPr>
        <w:t>知识产权</w:t>
      </w:r>
      <w:bookmarkEnd w:id="164"/>
      <w:bookmarkEnd w:id="165"/>
    </w:p>
    <w:p>
      <w:pPr>
        <w:spacing w:line="480" w:lineRule="exact"/>
        <w:ind w:firstLine="480" w:firstLineChars="200"/>
        <w:rPr>
          <w:rFonts w:hAnsi="宋体" w:cs="宋体"/>
          <w:color w:val="000000"/>
          <w:sz w:val="24"/>
          <w:szCs w:val="24"/>
        </w:rPr>
      </w:pPr>
      <w:r>
        <w:rPr>
          <w:rFonts w:hint="eastAsia" w:hAnsi="宋体" w:cs="宋体"/>
          <w:color w:val="000000"/>
          <w:sz w:val="24"/>
          <w:szCs w:val="24"/>
        </w:rPr>
        <w:t>有关知识产权的规定：见投标人须知前附表。</w:t>
      </w:r>
    </w:p>
    <w:p>
      <w:pPr>
        <w:pStyle w:val="7"/>
        <w:keepNext w:val="0"/>
        <w:keepLines w:val="0"/>
        <w:spacing w:after="0" w:line="480" w:lineRule="exact"/>
        <w:ind w:firstLine="482" w:firstLineChars="200"/>
        <w:jc w:val="both"/>
        <w:rPr>
          <w:rFonts w:ascii="仿宋_GB2312" w:cs="宋体"/>
          <w:color w:val="000000"/>
        </w:rPr>
      </w:pPr>
      <w:bookmarkStart w:id="166" w:name="_Toc18603092"/>
      <w:bookmarkStart w:id="167" w:name="_Toc11790"/>
      <w:r>
        <w:rPr>
          <w:rFonts w:ascii="仿宋_GB2312" w:cs="宋体"/>
          <w:color w:val="000000"/>
        </w:rPr>
        <w:t>10.3 解释权</w:t>
      </w:r>
      <w:bookmarkEnd w:id="166"/>
      <w:bookmarkEnd w:id="167"/>
    </w:p>
    <w:p>
      <w:pPr>
        <w:spacing w:line="480" w:lineRule="exact"/>
        <w:ind w:firstLine="480" w:firstLineChars="200"/>
        <w:rPr>
          <w:rFonts w:hAnsi="宋体" w:cs="宋体"/>
          <w:color w:val="000000"/>
          <w:sz w:val="24"/>
          <w:szCs w:val="24"/>
        </w:rPr>
      </w:pPr>
      <w:r>
        <w:rPr>
          <w:rFonts w:hint="eastAsia" w:hAnsi="宋体" w:cs="宋体"/>
          <w:color w:val="000000"/>
          <w:sz w:val="24"/>
          <w:szCs w:val="24"/>
        </w:rPr>
        <w:t>有关招标文件的解释权：见投标人须知前附表。</w:t>
      </w:r>
    </w:p>
    <w:p>
      <w:pPr>
        <w:pStyle w:val="7"/>
        <w:keepNext w:val="0"/>
        <w:keepLines w:val="0"/>
        <w:spacing w:after="0" w:line="480" w:lineRule="exact"/>
        <w:ind w:firstLine="482" w:firstLineChars="200"/>
        <w:jc w:val="both"/>
        <w:rPr>
          <w:rFonts w:ascii="仿宋_GB2312" w:cs="宋体"/>
          <w:color w:val="000000"/>
        </w:rPr>
      </w:pPr>
      <w:bookmarkStart w:id="168" w:name="_Toc18603093"/>
      <w:bookmarkStart w:id="169" w:name="_Toc10688"/>
      <w:r>
        <w:rPr>
          <w:rFonts w:ascii="仿宋_GB2312" w:cs="宋体"/>
          <w:color w:val="000000"/>
        </w:rPr>
        <w:t xml:space="preserve">10.4 </w:t>
      </w:r>
      <w:r>
        <w:rPr>
          <w:rFonts w:hint="eastAsia" w:ascii="仿宋_GB2312" w:cs="宋体"/>
          <w:color w:val="000000"/>
        </w:rPr>
        <w:t>招标人补充的其他内容</w:t>
      </w:r>
      <w:bookmarkEnd w:id="168"/>
      <w:bookmarkEnd w:id="169"/>
    </w:p>
    <w:p>
      <w:pPr>
        <w:spacing w:line="480" w:lineRule="exact"/>
        <w:ind w:firstLine="480" w:firstLineChars="200"/>
        <w:rPr>
          <w:rFonts w:hAnsi="宋体" w:cs="宋体"/>
          <w:color w:val="000000"/>
          <w:sz w:val="24"/>
          <w:szCs w:val="24"/>
        </w:rPr>
      </w:pPr>
      <w:r>
        <w:rPr>
          <w:rFonts w:hint="eastAsia" w:hAnsi="宋体" w:cs="宋体"/>
          <w:color w:val="000000"/>
          <w:sz w:val="24"/>
          <w:szCs w:val="24"/>
        </w:rPr>
        <w:t>招标人补充的其他内容：见投标人须知前附表。</w:t>
      </w:r>
    </w:p>
    <w:p>
      <w:pPr>
        <w:pStyle w:val="6"/>
        <w:spacing w:line="480" w:lineRule="exact"/>
        <w:jc w:val="both"/>
        <w:rPr>
          <w:rFonts w:cs="宋体"/>
          <w:color w:val="000000"/>
        </w:rPr>
      </w:pPr>
      <w:r>
        <w:rPr>
          <w:rFonts w:hint="eastAsia" w:cs="宋体"/>
          <w:b w:val="0"/>
          <w:bCs w:val="0"/>
          <w:color w:val="000000"/>
          <w:sz w:val="24"/>
          <w:szCs w:val="24"/>
        </w:rPr>
        <w:br w:type="page"/>
      </w:r>
    </w:p>
    <w:p>
      <w:pPr>
        <w:pStyle w:val="6"/>
        <w:jc w:val="both"/>
        <w:rPr>
          <w:rFonts w:cs="宋体" w:asciiTheme="majorEastAsia" w:hAnsiTheme="majorEastAsia" w:eastAsiaTheme="majorEastAsia"/>
          <w:b w:val="0"/>
          <w:color w:val="000000"/>
        </w:rPr>
      </w:pPr>
      <w:bookmarkStart w:id="170" w:name="_Toc18603095"/>
      <w:bookmarkStart w:id="171" w:name="_Toc1284"/>
      <w:bookmarkStart w:id="172" w:name="_Toc522293517"/>
      <w:bookmarkStart w:id="173" w:name="_Toc15828"/>
      <w:r>
        <w:rPr>
          <w:rFonts w:hint="eastAsia" w:cs="宋体" w:asciiTheme="majorEastAsia" w:hAnsiTheme="majorEastAsia" w:eastAsiaTheme="majorEastAsia"/>
          <w:b w:val="0"/>
          <w:color w:val="000000"/>
        </w:rPr>
        <w:t>附表一</w:t>
      </w:r>
    </w:p>
    <w:p>
      <w:pPr>
        <w:pStyle w:val="6"/>
        <w:rPr>
          <w:rFonts w:cs="宋体" w:asciiTheme="majorEastAsia" w:hAnsiTheme="majorEastAsia" w:eastAsiaTheme="majorEastAsia"/>
          <w:color w:val="000000"/>
        </w:rPr>
      </w:pPr>
      <w:r>
        <w:rPr>
          <w:rFonts w:hint="eastAsia" w:cs="宋体" w:asciiTheme="majorEastAsia" w:hAnsiTheme="majorEastAsia" w:eastAsiaTheme="majorEastAsia"/>
          <w:color w:val="000000"/>
        </w:rPr>
        <w:t>异议函</w:t>
      </w:r>
      <w:bookmarkEnd w:id="170"/>
      <w:bookmarkEnd w:id="171"/>
      <w:bookmarkEnd w:id="172"/>
      <w:bookmarkEnd w:id="173"/>
    </w:p>
    <w:p>
      <w:pPr>
        <w:rPr>
          <w:rFonts w:ascii="宋体" w:hAnsi="宋体" w:cs="宋体"/>
          <w:color w:val="000000"/>
          <w:sz w:val="24"/>
          <w:szCs w:val="24"/>
        </w:rPr>
      </w:pPr>
    </w:p>
    <w:p>
      <w:pPr>
        <w:spacing w:line="500" w:lineRule="exact"/>
        <w:rPr>
          <w:rFonts w:hAnsi="宋体" w:cs="宋体"/>
          <w:color w:val="000000"/>
          <w:sz w:val="24"/>
          <w:szCs w:val="24"/>
        </w:rPr>
      </w:pPr>
      <w:r>
        <w:rPr>
          <w:rFonts w:hint="eastAsia" w:ascii="宋体" w:hAnsi="宋体" w:cs="宋体"/>
          <w:color w:val="000000"/>
          <w:sz w:val="24"/>
          <w:szCs w:val="24"/>
          <w:u w:val="single"/>
        </w:rPr>
        <w:t xml:space="preserve">          </w:t>
      </w:r>
      <w:r>
        <w:rPr>
          <w:rFonts w:hAnsi="宋体" w:cs="宋体"/>
          <w:color w:val="000000"/>
          <w:sz w:val="24"/>
          <w:szCs w:val="24"/>
        </w:rPr>
        <w:t>(</w:t>
      </w:r>
      <w:r>
        <w:rPr>
          <w:rFonts w:hint="eastAsia" w:hAnsi="宋体" w:cs="宋体"/>
          <w:color w:val="000000"/>
          <w:sz w:val="24"/>
          <w:szCs w:val="24"/>
        </w:rPr>
        <w:t>招标机构名称</w:t>
      </w:r>
      <w:r>
        <w:rPr>
          <w:rFonts w:hAnsi="宋体" w:cs="宋体"/>
          <w:color w:val="000000"/>
          <w:sz w:val="24"/>
          <w:szCs w:val="24"/>
        </w:rPr>
        <w:t>)</w:t>
      </w:r>
      <w:r>
        <w:rPr>
          <w:rFonts w:hint="eastAsia" w:hAnsi="宋体" w:cs="宋体"/>
          <w:color w:val="000000"/>
          <w:sz w:val="24"/>
          <w:szCs w:val="24"/>
        </w:rPr>
        <w:t>：</w:t>
      </w:r>
    </w:p>
    <w:p>
      <w:pPr>
        <w:spacing w:line="500" w:lineRule="exact"/>
        <w:ind w:firstLine="480" w:firstLineChars="200"/>
        <w:rPr>
          <w:rFonts w:hAnsi="宋体" w:cs="宋体"/>
          <w:color w:val="000000"/>
          <w:sz w:val="24"/>
          <w:szCs w:val="24"/>
        </w:rPr>
      </w:pPr>
      <w:r>
        <w:rPr>
          <w:rFonts w:hint="eastAsia" w:hAnsi="宋体" w:cs="宋体"/>
          <w:color w:val="000000"/>
          <w:sz w:val="24"/>
          <w:szCs w:val="24"/>
        </w:rPr>
        <w:t>我方已研究（看到）你方发出的</w:t>
      </w:r>
      <w:r>
        <w:rPr>
          <w:rFonts w:hAnsi="宋体" w:cs="宋体"/>
          <w:color w:val="000000"/>
          <w:sz w:val="24"/>
          <w:szCs w:val="24"/>
          <w:u w:val="single"/>
        </w:rPr>
        <w:t xml:space="preserve">                    </w:t>
      </w:r>
      <w:r>
        <w:rPr>
          <w:rFonts w:hAnsi="宋体" w:cs="宋体"/>
          <w:color w:val="000000"/>
          <w:sz w:val="24"/>
          <w:szCs w:val="24"/>
        </w:rPr>
        <w:t xml:space="preserve"> </w:t>
      </w:r>
      <w:r>
        <w:rPr>
          <w:rFonts w:hint="eastAsia" w:hAnsi="宋体" w:cs="宋体"/>
          <w:color w:val="000000"/>
          <w:sz w:val="24"/>
          <w:szCs w:val="24"/>
        </w:rPr>
        <w:t>招标文件（或评标结果公告），现对下列问题提出异议，请予以解释：</w:t>
      </w:r>
    </w:p>
    <w:p>
      <w:pPr>
        <w:spacing w:line="500" w:lineRule="exact"/>
        <w:ind w:firstLine="480" w:firstLineChars="200"/>
        <w:rPr>
          <w:rFonts w:hAnsi="宋体" w:cs="宋体"/>
          <w:color w:val="000000"/>
          <w:sz w:val="24"/>
          <w:szCs w:val="24"/>
        </w:rPr>
      </w:pPr>
      <w:r>
        <w:rPr>
          <w:rFonts w:hAnsi="宋体" w:cs="宋体"/>
          <w:color w:val="000000"/>
          <w:sz w:val="24"/>
          <w:szCs w:val="24"/>
        </w:rPr>
        <w:t>1.</w:t>
      </w:r>
      <w:r>
        <w:rPr>
          <w:rFonts w:hint="eastAsia" w:hAnsi="宋体" w:cs="宋体"/>
          <w:color w:val="000000"/>
          <w:sz w:val="24"/>
          <w:szCs w:val="24"/>
        </w:rPr>
        <w:t>……</w:t>
      </w:r>
    </w:p>
    <w:p>
      <w:pPr>
        <w:spacing w:line="500" w:lineRule="exact"/>
        <w:ind w:firstLine="480" w:firstLineChars="200"/>
        <w:rPr>
          <w:rFonts w:hAnsi="宋体" w:cs="宋体"/>
          <w:color w:val="000000"/>
          <w:sz w:val="24"/>
          <w:szCs w:val="24"/>
        </w:rPr>
      </w:pPr>
      <w:r>
        <w:rPr>
          <w:rFonts w:hAnsi="宋体" w:cs="宋体"/>
          <w:color w:val="000000"/>
          <w:sz w:val="24"/>
          <w:szCs w:val="24"/>
        </w:rPr>
        <w:t>2.</w:t>
      </w:r>
      <w:r>
        <w:rPr>
          <w:rFonts w:hint="eastAsia" w:hAnsi="宋体" w:cs="宋体"/>
          <w:color w:val="000000"/>
          <w:sz w:val="24"/>
          <w:szCs w:val="24"/>
        </w:rPr>
        <w:t>……</w:t>
      </w:r>
    </w:p>
    <w:p>
      <w:pPr>
        <w:spacing w:line="500" w:lineRule="exact"/>
        <w:rPr>
          <w:rFonts w:hAnsi="宋体" w:cs="宋体"/>
          <w:color w:val="000000"/>
          <w:sz w:val="24"/>
          <w:szCs w:val="24"/>
        </w:rPr>
      </w:pPr>
    </w:p>
    <w:p>
      <w:pPr>
        <w:spacing w:line="500" w:lineRule="exact"/>
        <w:ind w:firstLine="3600" w:firstLineChars="1500"/>
        <w:rPr>
          <w:rFonts w:hAnsi="宋体" w:cs="宋体"/>
          <w:color w:val="000000"/>
          <w:sz w:val="24"/>
          <w:szCs w:val="24"/>
        </w:rPr>
      </w:pPr>
      <w:r>
        <w:rPr>
          <w:rFonts w:hint="eastAsia" w:hAnsi="宋体" w:cs="宋体"/>
          <w:color w:val="000000"/>
          <w:sz w:val="24"/>
          <w:szCs w:val="24"/>
        </w:rPr>
        <w:t>投标人或利害关系人：</w:t>
      </w:r>
      <w:r>
        <w:rPr>
          <w:rFonts w:hAnsi="宋体" w:cs="宋体"/>
          <w:color w:val="000000"/>
          <w:sz w:val="24"/>
          <w:szCs w:val="24"/>
          <w:u w:val="single"/>
        </w:rPr>
        <w:t xml:space="preserve">           </w:t>
      </w:r>
      <w:r>
        <w:rPr>
          <w:rFonts w:hAnsi="宋体" w:cs="宋体"/>
          <w:color w:val="000000"/>
          <w:sz w:val="24"/>
          <w:szCs w:val="24"/>
        </w:rPr>
        <w:t>(</w:t>
      </w:r>
      <w:r>
        <w:rPr>
          <w:rFonts w:hint="eastAsia" w:hAnsi="宋体" w:cs="宋体"/>
          <w:color w:val="000000"/>
          <w:sz w:val="24"/>
          <w:szCs w:val="24"/>
        </w:rPr>
        <w:t>盖单位章</w:t>
      </w:r>
      <w:r>
        <w:rPr>
          <w:rFonts w:hAnsi="宋体" w:cs="宋体"/>
          <w:color w:val="000000"/>
          <w:sz w:val="24"/>
          <w:szCs w:val="24"/>
        </w:rPr>
        <w:t>)</w:t>
      </w:r>
    </w:p>
    <w:p>
      <w:pPr>
        <w:spacing w:line="500" w:lineRule="exact"/>
        <w:ind w:firstLine="3600" w:firstLineChars="1500"/>
        <w:rPr>
          <w:rFonts w:hAnsi="宋体" w:cs="宋体"/>
          <w:color w:val="000000"/>
          <w:sz w:val="24"/>
          <w:szCs w:val="24"/>
        </w:rPr>
      </w:pPr>
      <w:r>
        <w:rPr>
          <w:rFonts w:hint="eastAsia" w:hAnsi="宋体" w:cs="宋体"/>
          <w:color w:val="000000"/>
          <w:sz w:val="24"/>
          <w:szCs w:val="24"/>
        </w:rPr>
        <w:t>法定代表人或其委托代理人：</w:t>
      </w:r>
      <w:r>
        <w:rPr>
          <w:rFonts w:hAnsi="宋体" w:cs="宋体"/>
          <w:color w:val="000000"/>
          <w:sz w:val="24"/>
          <w:szCs w:val="24"/>
          <w:u w:val="single"/>
        </w:rPr>
        <w:t xml:space="preserve">         </w:t>
      </w:r>
      <w:r>
        <w:rPr>
          <w:rFonts w:hAnsi="宋体" w:cs="宋体"/>
          <w:color w:val="000000"/>
          <w:sz w:val="24"/>
          <w:szCs w:val="24"/>
        </w:rPr>
        <w:t>(</w:t>
      </w:r>
      <w:r>
        <w:rPr>
          <w:rFonts w:hint="eastAsia" w:hAnsi="宋体" w:cs="宋体"/>
          <w:color w:val="000000"/>
          <w:sz w:val="24"/>
          <w:szCs w:val="24"/>
        </w:rPr>
        <w:t>签章</w:t>
      </w:r>
      <w:r>
        <w:rPr>
          <w:rFonts w:hAnsi="宋体" w:cs="宋体"/>
          <w:color w:val="000000"/>
          <w:sz w:val="24"/>
          <w:szCs w:val="24"/>
        </w:rPr>
        <w:t>)</w:t>
      </w:r>
    </w:p>
    <w:p>
      <w:pPr>
        <w:spacing w:line="500" w:lineRule="exact"/>
        <w:ind w:firstLine="6000" w:firstLineChars="2500"/>
        <w:rPr>
          <w:rFonts w:hAnsi="宋体" w:cs="宋体"/>
          <w:color w:val="000000"/>
          <w:sz w:val="24"/>
          <w:szCs w:val="24"/>
        </w:rPr>
      </w:pPr>
      <w:r>
        <w:rPr>
          <w:rFonts w:hAnsi="宋体" w:cs="宋体"/>
          <w:color w:val="000000"/>
          <w:sz w:val="24"/>
          <w:szCs w:val="24"/>
          <w:u w:val="single"/>
        </w:rPr>
        <w:t xml:space="preserve">     </w:t>
      </w:r>
      <w:r>
        <w:rPr>
          <w:rFonts w:hint="eastAsia" w:hAnsi="宋体" w:cs="宋体"/>
          <w:color w:val="000000"/>
          <w:sz w:val="24"/>
          <w:szCs w:val="24"/>
        </w:rPr>
        <w:t>年</w:t>
      </w:r>
      <w:r>
        <w:rPr>
          <w:rFonts w:hAnsi="宋体" w:cs="宋体"/>
          <w:color w:val="000000"/>
          <w:sz w:val="24"/>
          <w:szCs w:val="24"/>
        </w:rPr>
        <w:t xml:space="preserve"> </w:t>
      </w:r>
      <w:r>
        <w:rPr>
          <w:rFonts w:hAnsi="宋体" w:cs="宋体"/>
          <w:color w:val="000000"/>
          <w:sz w:val="24"/>
          <w:szCs w:val="24"/>
          <w:u w:val="single"/>
        </w:rPr>
        <w:t xml:space="preserve">    </w:t>
      </w:r>
      <w:r>
        <w:rPr>
          <w:rFonts w:hint="eastAsia" w:hAnsi="宋体" w:cs="宋体"/>
          <w:color w:val="000000"/>
          <w:sz w:val="24"/>
          <w:szCs w:val="24"/>
        </w:rPr>
        <w:t>月</w:t>
      </w:r>
      <w:r>
        <w:rPr>
          <w:rFonts w:hAnsi="宋体" w:cs="宋体"/>
          <w:color w:val="000000"/>
          <w:sz w:val="24"/>
          <w:szCs w:val="24"/>
          <w:u w:val="single"/>
        </w:rPr>
        <w:t xml:space="preserve">    </w:t>
      </w:r>
      <w:r>
        <w:rPr>
          <w:rFonts w:hint="eastAsia" w:hAnsi="宋体" w:cs="宋体"/>
          <w:color w:val="000000"/>
          <w:sz w:val="24"/>
          <w:szCs w:val="24"/>
        </w:rPr>
        <w:t>日</w:t>
      </w:r>
    </w:p>
    <w:p>
      <w:pPr>
        <w:rPr>
          <w:rFonts w:ascii="宋体" w:hAnsi="宋体" w:cs="宋体"/>
          <w:color w:val="000000"/>
          <w:sz w:val="24"/>
          <w:szCs w:val="24"/>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sz w:val="24"/>
          <w:szCs w:val="24"/>
        </w:rPr>
      </w:pPr>
      <w:r>
        <w:rPr>
          <w:rFonts w:hint="eastAsia" w:ascii="宋体" w:hAnsi="宋体" w:cs="宋体"/>
          <w:color w:val="000000"/>
          <w:sz w:val="24"/>
          <w:szCs w:val="24"/>
        </w:rPr>
        <w:t>备注：投标人或利害关系人对</w:t>
      </w:r>
      <w:r>
        <w:rPr>
          <w:rFonts w:hint="eastAsia" w:hAnsi="宋体" w:cs="宋体"/>
          <w:color w:val="000000"/>
          <w:sz w:val="24"/>
          <w:szCs w:val="24"/>
        </w:rPr>
        <w:t>招标文件（或评标结果公告）</w:t>
      </w:r>
      <w:r>
        <w:rPr>
          <w:rFonts w:hint="eastAsia" w:ascii="宋体" w:hAnsi="宋体" w:cs="宋体"/>
          <w:color w:val="000000"/>
          <w:sz w:val="24"/>
          <w:szCs w:val="24"/>
        </w:rPr>
        <w:t>有异议，要求招标机构解释的，适用本格式。</w:t>
      </w:r>
    </w:p>
    <w:p>
      <w:pPr>
        <w:rPr>
          <w:rFonts w:ascii="宋体" w:hAnsi="宋体" w:cs="宋体"/>
          <w:color w:val="000000"/>
        </w:rPr>
      </w:pPr>
    </w:p>
    <w:p>
      <w:pPr>
        <w:rPr>
          <w:rFonts w:ascii="宋体" w:hAnsi="宋体" w:cs="宋体"/>
          <w:color w:val="000000"/>
        </w:rPr>
      </w:pPr>
    </w:p>
    <w:p>
      <w:pPr>
        <w:rPr>
          <w:rFonts w:ascii="宋体" w:hAnsi="宋体" w:cs="宋体"/>
          <w:color w:val="000000"/>
        </w:rPr>
      </w:pPr>
    </w:p>
    <w:p>
      <w:pPr>
        <w:pStyle w:val="6"/>
        <w:jc w:val="both"/>
        <w:rPr>
          <w:rFonts w:cs="宋体" w:asciiTheme="majorEastAsia" w:hAnsiTheme="majorEastAsia" w:eastAsiaTheme="majorEastAsia"/>
          <w:b w:val="0"/>
          <w:color w:val="000000"/>
        </w:rPr>
      </w:pPr>
      <w:r>
        <w:rPr>
          <w:rFonts w:hint="eastAsia" w:cs="宋体"/>
          <w:color w:val="000000"/>
        </w:rPr>
        <w:br w:type="page"/>
      </w:r>
      <w:bookmarkStart w:id="174" w:name="_Toc522293518"/>
      <w:bookmarkStart w:id="175" w:name="_Toc21445"/>
      <w:bookmarkStart w:id="176" w:name="_Toc18603096"/>
      <w:bookmarkStart w:id="177" w:name="_Toc13860"/>
      <w:r>
        <w:rPr>
          <w:rFonts w:hint="eastAsia" w:cs="宋体" w:asciiTheme="majorEastAsia" w:hAnsiTheme="majorEastAsia" w:eastAsiaTheme="majorEastAsia"/>
          <w:b w:val="0"/>
          <w:color w:val="000000"/>
        </w:rPr>
        <w:t>附表二</w:t>
      </w:r>
    </w:p>
    <w:p>
      <w:pPr>
        <w:pStyle w:val="6"/>
        <w:rPr>
          <w:rFonts w:cs="宋体" w:asciiTheme="majorEastAsia" w:hAnsiTheme="majorEastAsia" w:eastAsiaTheme="majorEastAsia"/>
          <w:color w:val="000000"/>
        </w:rPr>
      </w:pPr>
      <w:r>
        <w:rPr>
          <w:rFonts w:hint="eastAsia" w:cs="宋体" w:asciiTheme="majorEastAsia" w:hAnsiTheme="majorEastAsia" w:eastAsiaTheme="majorEastAsia"/>
          <w:color w:val="000000"/>
        </w:rPr>
        <w:t>异议答复函</w:t>
      </w:r>
      <w:bookmarkEnd w:id="174"/>
      <w:bookmarkEnd w:id="175"/>
      <w:bookmarkEnd w:id="176"/>
      <w:bookmarkEnd w:id="177"/>
    </w:p>
    <w:p>
      <w:pPr>
        <w:spacing w:line="400" w:lineRule="exact"/>
        <w:rPr>
          <w:rFonts w:ascii="宋体" w:hAnsi="宋体" w:cs="宋体"/>
          <w:b/>
          <w:color w:val="000000"/>
          <w:sz w:val="24"/>
          <w:szCs w:val="24"/>
        </w:rPr>
      </w:pPr>
    </w:p>
    <w:p>
      <w:pPr>
        <w:spacing w:line="500" w:lineRule="exact"/>
        <w:ind w:firstLine="120" w:firstLineChars="50"/>
        <w:rPr>
          <w:rFonts w:hAnsi="宋体" w:cs="宋体"/>
          <w:color w:val="000000"/>
          <w:sz w:val="24"/>
          <w:szCs w:val="24"/>
        </w:rPr>
      </w:pPr>
      <w:r>
        <w:rPr>
          <w:rFonts w:hint="eastAsia" w:ascii="宋体" w:hAnsi="宋体" w:cs="宋体"/>
          <w:color w:val="000000"/>
          <w:sz w:val="24"/>
          <w:szCs w:val="24"/>
          <w:u w:val="single"/>
        </w:rPr>
        <w:t xml:space="preserve">             </w:t>
      </w:r>
      <w:r>
        <w:rPr>
          <w:rFonts w:hAnsi="宋体" w:cs="宋体"/>
          <w:color w:val="000000"/>
          <w:sz w:val="24"/>
          <w:szCs w:val="24"/>
        </w:rPr>
        <w:t>(</w:t>
      </w:r>
      <w:r>
        <w:rPr>
          <w:rFonts w:hint="eastAsia" w:hAnsi="宋体" w:cs="宋体"/>
          <w:color w:val="000000"/>
          <w:sz w:val="24"/>
          <w:szCs w:val="24"/>
        </w:rPr>
        <w:t>投标人或利害关系人名称</w:t>
      </w:r>
      <w:r>
        <w:rPr>
          <w:rFonts w:hAnsi="宋体" w:cs="宋体"/>
          <w:color w:val="000000"/>
          <w:sz w:val="24"/>
          <w:szCs w:val="24"/>
        </w:rPr>
        <w:t>)</w:t>
      </w:r>
      <w:r>
        <w:rPr>
          <w:rFonts w:hint="eastAsia" w:hAnsi="宋体" w:cs="宋体"/>
          <w:color w:val="000000"/>
          <w:sz w:val="24"/>
          <w:szCs w:val="24"/>
        </w:rPr>
        <w:t>：</w:t>
      </w:r>
    </w:p>
    <w:p>
      <w:pPr>
        <w:spacing w:line="500" w:lineRule="exact"/>
        <w:rPr>
          <w:rFonts w:hAnsi="宋体" w:cs="宋体"/>
          <w:color w:val="000000"/>
          <w:sz w:val="24"/>
          <w:szCs w:val="24"/>
        </w:rPr>
      </w:pPr>
      <w:r>
        <w:rPr>
          <w:rFonts w:hint="eastAsia" w:hAnsi="宋体" w:cs="宋体"/>
          <w:color w:val="000000"/>
          <w:sz w:val="24"/>
          <w:szCs w:val="24"/>
        </w:rPr>
        <w:t>你方提出的有关</w:t>
      </w:r>
      <w:r>
        <w:rPr>
          <w:rFonts w:hAnsi="宋体" w:cs="宋体"/>
          <w:color w:val="000000"/>
          <w:sz w:val="24"/>
          <w:szCs w:val="24"/>
          <w:u w:val="single"/>
        </w:rPr>
        <w:t xml:space="preserve">                      </w:t>
      </w:r>
      <w:r>
        <w:rPr>
          <w:rFonts w:hint="eastAsia" w:hAnsi="宋体" w:cs="宋体"/>
          <w:color w:val="000000"/>
          <w:sz w:val="24"/>
          <w:szCs w:val="24"/>
        </w:rPr>
        <w:t>招标文件（或评标结果公告）的异议已收悉，现答复如下：</w:t>
      </w:r>
    </w:p>
    <w:p>
      <w:pPr>
        <w:spacing w:line="500" w:lineRule="exact"/>
        <w:rPr>
          <w:rFonts w:hAnsi="宋体" w:cs="宋体"/>
          <w:color w:val="000000"/>
          <w:sz w:val="24"/>
          <w:szCs w:val="24"/>
        </w:rPr>
      </w:pPr>
      <w:r>
        <w:rPr>
          <w:rFonts w:hAnsi="宋体" w:cs="宋体"/>
          <w:color w:val="000000"/>
          <w:sz w:val="24"/>
          <w:szCs w:val="24"/>
        </w:rPr>
        <w:t>1.</w:t>
      </w:r>
      <w:r>
        <w:rPr>
          <w:rFonts w:hint="eastAsia" w:hAnsi="宋体" w:cs="宋体"/>
          <w:color w:val="000000"/>
          <w:sz w:val="24"/>
          <w:szCs w:val="24"/>
        </w:rPr>
        <w:t>……</w:t>
      </w:r>
    </w:p>
    <w:p>
      <w:pPr>
        <w:spacing w:line="500" w:lineRule="exact"/>
        <w:rPr>
          <w:rFonts w:hAnsi="宋体" w:cs="宋体"/>
          <w:color w:val="000000"/>
          <w:sz w:val="24"/>
          <w:szCs w:val="24"/>
        </w:rPr>
      </w:pPr>
      <w:r>
        <w:rPr>
          <w:rFonts w:hAnsi="宋体" w:cs="宋体"/>
          <w:color w:val="000000"/>
          <w:sz w:val="24"/>
          <w:szCs w:val="24"/>
        </w:rPr>
        <w:t>2.</w:t>
      </w:r>
      <w:r>
        <w:rPr>
          <w:rFonts w:hint="eastAsia" w:hAnsi="宋体" w:cs="宋体"/>
          <w:color w:val="000000"/>
          <w:sz w:val="24"/>
          <w:szCs w:val="24"/>
        </w:rPr>
        <w:t>……</w:t>
      </w:r>
    </w:p>
    <w:p>
      <w:pPr>
        <w:spacing w:line="500" w:lineRule="exact"/>
        <w:rPr>
          <w:rFonts w:hAnsi="宋体" w:cs="宋体"/>
          <w:color w:val="000000"/>
          <w:sz w:val="24"/>
          <w:szCs w:val="24"/>
        </w:rPr>
      </w:pPr>
      <w:r>
        <w:rPr>
          <w:rFonts w:hint="eastAsia" w:hAnsi="宋体" w:cs="宋体"/>
          <w:color w:val="000000"/>
          <w:sz w:val="24"/>
          <w:szCs w:val="24"/>
        </w:rPr>
        <w:t>……</w:t>
      </w:r>
    </w:p>
    <w:p>
      <w:pPr>
        <w:spacing w:line="500" w:lineRule="exact"/>
        <w:rPr>
          <w:rFonts w:hAnsi="宋体" w:cs="宋体"/>
          <w:color w:val="000000"/>
          <w:sz w:val="24"/>
          <w:szCs w:val="24"/>
        </w:rPr>
      </w:pPr>
    </w:p>
    <w:p>
      <w:pPr>
        <w:spacing w:line="500" w:lineRule="exact"/>
        <w:rPr>
          <w:rFonts w:hAnsi="宋体" w:cs="宋体"/>
          <w:color w:val="000000"/>
          <w:sz w:val="24"/>
          <w:szCs w:val="24"/>
        </w:rPr>
      </w:pPr>
    </w:p>
    <w:p>
      <w:pPr>
        <w:spacing w:line="500" w:lineRule="exact"/>
        <w:rPr>
          <w:rFonts w:hAnsi="宋体" w:cs="宋体"/>
          <w:color w:val="000000"/>
          <w:sz w:val="24"/>
          <w:szCs w:val="24"/>
        </w:rPr>
      </w:pPr>
    </w:p>
    <w:p>
      <w:pPr>
        <w:spacing w:line="500" w:lineRule="exact"/>
        <w:rPr>
          <w:rFonts w:hAnsi="宋体" w:cs="宋体"/>
          <w:color w:val="000000"/>
          <w:sz w:val="24"/>
          <w:szCs w:val="24"/>
        </w:rPr>
      </w:pPr>
      <w:r>
        <w:rPr>
          <w:rFonts w:hAnsi="宋体" w:cs="宋体"/>
          <w:color w:val="000000"/>
          <w:sz w:val="24"/>
          <w:szCs w:val="24"/>
        </w:rPr>
        <w:t xml:space="preserve">                                          </w:t>
      </w:r>
      <w:r>
        <w:rPr>
          <w:rFonts w:hint="eastAsia" w:hAnsi="宋体" w:cs="宋体"/>
          <w:color w:val="000000"/>
          <w:sz w:val="24"/>
          <w:szCs w:val="24"/>
        </w:rPr>
        <w:t>招标机构：</w:t>
      </w:r>
      <w:r>
        <w:rPr>
          <w:rFonts w:hAnsi="宋体" w:cs="宋体"/>
          <w:color w:val="000000"/>
          <w:sz w:val="24"/>
          <w:szCs w:val="24"/>
        </w:rPr>
        <w:t xml:space="preserve"> </w:t>
      </w:r>
      <w:r>
        <w:rPr>
          <w:rFonts w:hAnsi="宋体" w:cs="宋体"/>
          <w:color w:val="000000"/>
          <w:sz w:val="24"/>
          <w:szCs w:val="24"/>
          <w:u w:val="single"/>
        </w:rPr>
        <w:t xml:space="preserve">       </w:t>
      </w:r>
      <w:r>
        <w:rPr>
          <w:rFonts w:hAnsi="宋体" w:cs="宋体"/>
          <w:color w:val="000000"/>
          <w:sz w:val="24"/>
          <w:szCs w:val="24"/>
        </w:rPr>
        <w:t xml:space="preserve"> </w:t>
      </w:r>
      <w:r>
        <w:rPr>
          <w:rFonts w:hint="eastAsia" w:hAnsi="宋体" w:cs="宋体"/>
          <w:color w:val="000000"/>
          <w:sz w:val="24"/>
          <w:szCs w:val="24"/>
        </w:rPr>
        <w:t>（盖单位章）</w:t>
      </w:r>
    </w:p>
    <w:p>
      <w:pPr>
        <w:spacing w:line="500" w:lineRule="exact"/>
        <w:rPr>
          <w:rFonts w:hAnsi="宋体" w:cs="宋体"/>
          <w:color w:val="000000"/>
          <w:sz w:val="24"/>
          <w:szCs w:val="24"/>
        </w:rPr>
      </w:pPr>
    </w:p>
    <w:p>
      <w:pPr>
        <w:spacing w:line="500" w:lineRule="exact"/>
        <w:rPr>
          <w:rFonts w:hAnsi="宋体" w:cs="宋体"/>
          <w:color w:val="000000"/>
          <w:sz w:val="24"/>
          <w:szCs w:val="24"/>
        </w:rPr>
      </w:pPr>
      <w:r>
        <w:rPr>
          <w:rFonts w:hAnsi="宋体" w:cs="宋体"/>
          <w:color w:val="000000"/>
          <w:sz w:val="24"/>
          <w:szCs w:val="24"/>
        </w:rPr>
        <w:t xml:space="preserve">                                                  </w:t>
      </w:r>
      <w:r>
        <w:rPr>
          <w:rFonts w:hAnsi="宋体" w:cs="宋体"/>
          <w:color w:val="000000"/>
          <w:sz w:val="24"/>
          <w:szCs w:val="24"/>
          <w:u w:val="single"/>
        </w:rPr>
        <w:t xml:space="preserve">     </w:t>
      </w:r>
      <w:r>
        <w:rPr>
          <w:rFonts w:hint="eastAsia" w:hAnsi="宋体" w:cs="宋体"/>
          <w:color w:val="000000"/>
          <w:sz w:val="24"/>
          <w:szCs w:val="24"/>
        </w:rPr>
        <w:t>年</w:t>
      </w:r>
      <w:r>
        <w:rPr>
          <w:rFonts w:hAnsi="宋体" w:cs="宋体"/>
          <w:color w:val="000000"/>
          <w:sz w:val="24"/>
          <w:szCs w:val="24"/>
          <w:u w:val="single"/>
        </w:rPr>
        <w:t xml:space="preserve">   </w:t>
      </w:r>
      <w:r>
        <w:rPr>
          <w:rFonts w:hint="eastAsia" w:hAnsi="宋体" w:cs="宋体"/>
          <w:color w:val="000000"/>
          <w:sz w:val="24"/>
          <w:szCs w:val="24"/>
        </w:rPr>
        <w:t>月</w:t>
      </w:r>
      <w:r>
        <w:rPr>
          <w:rFonts w:hAnsi="宋体" w:cs="宋体"/>
          <w:color w:val="000000"/>
          <w:sz w:val="24"/>
          <w:szCs w:val="24"/>
          <w:u w:val="single"/>
        </w:rPr>
        <w:t xml:space="preserve">   </w:t>
      </w:r>
      <w:r>
        <w:rPr>
          <w:rFonts w:hint="eastAsia" w:hAnsi="宋体" w:cs="宋体"/>
          <w:color w:val="000000"/>
          <w:sz w:val="24"/>
          <w:szCs w:val="24"/>
        </w:rPr>
        <w:t>日</w:t>
      </w:r>
    </w:p>
    <w:p>
      <w:pPr>
        <w:pStyle w:val="5"/>
        <w:pageBreakBefore/>
        <w:spacing w:before="240" w:beforeLines="100" w:after="240" w:afterLines="100"/>
        <w:rPr>
          <w:rFonts w:cs="宋体"/>
          <w:color w:val="000000"/>
        </w:rPr>
      </w:pPr>
      <w:bookmarkStart w:id="178" w:name="_Toc522293519"/>
      <w:bookmarkStart w:id="179" w:name="_Toc31653"/>
      <w:bookmarkStart w:id="180" w:name="_Toc7112"/>
      <w:r>
        <w:rPr>
          <w:rFonts w:hint="eastAsia" w:cs="宋体"/>
          <w:color w:val="000000"/>
        </w:rPr>
        <w:t>第三章  评标办法（</w:t>
      </w:r>
      <w:bookmarkEnd w:id="178"/>
      <w:bookmarkEnd w:id="179"/>
      <w:r>
        <w:rPr>
          <w:rFonts w:hint="eastAsia" w:cs="宋体"/>
          <w:color w:val="000000"/>
        </w:rPr>
        <w:t>综合评估法）</w:t>
      </w:r>
      <w:bookmarkEnd w:id="180"/>
    </w:p>
    <w:p>
      <w:pPr>
        <w:pStyle w:val="6"/>
        <w:spacing w:line="480" w:lineRule="exact"/>
        <w:rPr>
          <w:rFonts w:ascii="黑体" w:hAnsi="黑体" w:eastAsia="黑体" w:cs="宋体"/>
          <w:b w:val="0"/>
          <w:color w:val="000000"/>
        </w:rPr>
      </w:pPr>
      <w:bookmarkStart w:id="181" w:name="_Toc522293520"/>
      <w:bookmarkStart w:id="182" w:name="_Toc29272"/>
      <w:bookmarkStart w:id="183" w:name="_Toc12038"/>
      <w:r>
        <w:rPr>
          <w:rFonts w:hint="eastAsia" w:ascii="黑体" w:hAnsi="黑体" w:eastAsia="黑体" w:cs="宋体"/>
          <w:b w:val="0"/>
          <w:color w:val="000000"/>
        </w:rPr>
        <w:t>评标办法前附表</w:t>
      </w:r>
      <w:bookmarkEnd w:id="181"/>
      <w:bookmarkEnd w:id="182"/>
      <w:bookmarkEnd w:id="183"/>
    </w:p>
    <w:tbl>
      <w:tblPr>
        <w:tblStyle w:val="44"/>
        <w:tblW w:w="8854" w:type="dxa"/>
        <w:jc w:val="center"/>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
      <w:tblGrid>
        <w:gridCol w:w="721"/>
        <w:gridCol w:w="1114"/>
        <w:gridCol w:w="1701"/>
        <w:gridCol w:w="5309"/>
        <w:gridCol w:w="9"/>
      </w:tblGrid>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1835"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条款号</w:t>
            </w: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评审因素</w:t>
            </w:r>
          </w:p>
        </w:tc>
        <w:tc>
          <w:tcPr>
            <w:tcW w:w="5309" w:type="dxa"/>
            <w:tcBorders>
              <w:top w:val="outset" w:color="auto" w:sz="6" w:space="0"/>
              <w:left w:val="outset" w:color="auto" w:sz="6" w:space="0"/>
              <w:bottom w:val="outset" w:color="auto" w:sz="6" w:space="0"/>
              <w:right w:val="outset" w:color="auto" w:sz="6" w:space="0"/>
            </w:tcBorders>
            <w:vAlign w:val="center"/>
          </w:tcPr>
          <w:p>
            <w:pPr>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评审标准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restart"/>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Ansi="宋体" w:cs="宋体"/>
                <w:color w:val="000000"/>
                <w:kern w:val="0"/>
                <w:sz w:val="24"/>
                <w:szCs w:val="24"/>
              </w:rPr>
              <w:t>2.1.1</w:t>
            </w:r>
          </w:p>
        </w:tc>
        <w:tc>
          <w:tcPr>
            <w:tcW w:w="1114" w:type="dxa"/>
            <w:vMerge w:val="restart"/>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形式</w:t>
            </w:r>
          </w:p>
          <w:p>
            <w:pPr>
              <w:jc w:val="center"/>
              <w:rPr>
                <w:rFonts w:hAnsi="宋体" w:cs="宋体"/>
                <w:color w:val="000000"/>
                <w:kern w:val="0"/>
                <w:sz w:val="24"/>
                <w:szCs w:val="24"/>
              </w:rPr>
            </w:pPr>
            <w:r>
              <w:rPr>
                <w:rFonts w:hint="eastAsia" w:hAnsi="宋体" w:cs="宋体"/>
                <w:color w:val="000000"/>
                <w:kern w:val="0"/>
                <w:sz w:val="24"/>
                <w:szCs w:val="24"/>
              </w:rPr>
              <w:t>评审</w:t>
            </w:r>
          </w:p>
          <w:p>
            <w:pPr>
              <w:jc w:val="center"/>
              <w:rPr>
                <w:rFonts w:hAnsi="宋体" w:cs="宋体"/>
                <w:color w:val="000000"/>
                <w:kern w:val="0"/>
                <w:sz w:val="24"/>
                <w:szCs w:val="24"/>
              </w:rPr>
            </w:pPr>
            <w:r>
              <w:rPr>
                <w:rFonts w:hint="eastAsia" w:hAnsi="宋体" w:cs="宋体"/>
                <w:color w:val="000000"/>
                <w:kern w:val="0"/>
                <w:sz w:val="24"/>
                <w:szCs w:val="24"/>
              </w:rPr>
              <w:t>标准</w:t>
            </w: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投标人名称</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rPr>
            </w:pPr>
            <w:r>
              <w:rPr>
                <w:rFonts w:hint="eastAsia" w:hAnsi="宋体" w:cs="宋体"/>
                <w:color w:val="000000"/>
                <w:kern w:val="0"/>
                <w:sz w:val="24"/>
                <w:szCs w:val="24"/>
              </w:rPr>
              <w:t>与营业执照一致</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投标文件的签署</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rPr>
            </w:pPr>
            <w:r>
              <w:rPr>
                <w:rFonts w:hint="eastAsia" w:hAnsi="宋体" w:cs="宋体"/>
                <w:color w:val="000000"/>
                <w:kern w:val="0"/>
                <w:sz w:val="24"/>
                <w:szCs w:val="24"/>
              </w:rPr>
              <w:t>符合第七章“投标文件格式”中要求签字或盖章的地方，投标人均应签字或盖章</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报价唯一</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rPr>
            </w:pPr>
            <w:r>
              <w:rPr>
                <w:rFonts w:hint="eastAsia" w:hAnsi="宋体" w:cs="宋体"/>
                <w:color w:val="000000"/>
                <w:kern w:val="0"/>
                <w:sz w:val="24"/>
                <w:szCs w:val="24"/>
              </w:rPr>
              <w:t>只能有一个报价（指投标函中的大写报价）</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top w:val="outset" w:color="auto" w:sz="6" w:space="0"/>
              <w:left w:val="outset" w:color="auto" w:sz="6" w:space="0"/>
              <w:bottom w:val="single" w:color="auto" w:sz="4"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top w:val="outset" w:color="auto" w:sz="6" w:space="0"/>
              <w:left w:val="outset" w:color="auto" w:sz="6" w:space="0"/>
              <w:bottom w:val="single" w:color="auto" w:sz="4"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参加开标会</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rPr>
            </w:pPr>
            <w:r>
              <w:rPr>
                <w:rFonts w:hint="eastAsia" w:hAnsi="宋体" w:cs="宋体"/>
                <w:color w:val="000000"/>
                <w:kern w:val="0"/>
                <w:sz w:val="24"/>
                <w:szCs w:val="24"/>
              </w:rPr>
              <w:t>投标人的法定代表人或委托代理人应携带身份证明文件（法定代表人身份证明或法人授权委托书）和第二代有效身份证原件准时参加开标会</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restart"/>
            <w:tcBorders>
              <w:top w:val="single" w:color="auto" w:sz="4" w:space="0"/>
              <w:left w:val="outset" w:color="auto" w:sz="6" w:space="0"/>
              <w:right w:val="outset" w:color="auto" w:sz="6" w:space="0"/>
            </w:tcBorders>
            <w:vAlign w:val="center"/>
          </w:tcPr>
          <w:p>
            <w:pPr>
              <w:jc w:val="center"/>
              <w:rPr>
                <w:rFonts w:hAnsi="宋体" w:cs="宋体"/>
                <w:color w:val="000000"/>
                <w:kern w:val="0"/>
                <w:sz w:val="24"/>
                <w:szCs w:val="24"/>
              </w:rPr>
            </w:pPr>
            <w:r>
              <w:rPr>
                <w:rFonts w:hAnsi="宋体" w:cs="宋体"/>
                <w:color w:val="000000"/>
                <w:kern w:val="0"/>
                <w:sz w:val="24"/>
                <w:szCs w:val="24"/>
              </w:rPr>
              <w:t>2.1.2</w:t>
            </w:r>
          </w:p>
        </w:tc>
        <w:tc>
          <w:tcPr>
            <w:tcW w:w="1114" w:type="dxa"/>
            <w:vMerge w:val="restart"/>
            <w:tcBorders>
              <w:top w:val="single" w:color="auto" w:sz="4" w:space="0"/>
              <w:left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资格</w:t>
            </w:r>
          </w:p>
          <w:p>
            <w:pPr>
              <w:jc w:val="center"/>
              <w:rPr>
                <w:rFonts w:hAnsi="宋体" w:cs="宋体"/>
                <w:color w:val="000000"/>
                <w:kern w:val="0"/>
                <w:sz w:val="24"/>
                <w:szCs w:val="24"/>
              </w:rPr>
            </w:pPr>
            <w:r>
              <w:rPr>
                <w:rFonts w:hint="eastAsia" w:hAnsi="宋体" w:cs="宋体"/>
                <w:color w:val="000000"/>
                <w:kern w:val="0"/>
                <w:sz w:val="24"/>
                <w:szCs w:val="24"/>
              </w:rPr>
              <w:t>评审</w:t>
            </w:r>
          </w:p>
          <w:p>
            <w:pPr>
              <w:jc w:val="center"/>
              <w:rPr>
                <w:rFonts w:hAnsi="宋体" w:cs="宋体"/>
                <w:color w:val="000000"/>
                <w:kern w:val="0"/>
                <w:sz w:val="24"/>
                <w:szCs w:val="24"/>
              </w:rPr>
            </w:pPr>
            <w:r>
              <w:rPr>
                <w:rFonts w:hint="eastAsia" w:hAnsi="宋体" w:cs="宋体"/>
                <w:color w:val="000000"/>
                <w:kern w:val="0"/>
                <w:sz w:val="24"/>
                <w:szCs w:val="24"/>
              </w:rPr>
              <w:t>标准</w:t>
            </w: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营业执照</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rPr>
            </w:pPr>
            <w:r>
              <w:rPr>
                <w:rFonts w:hint="eastAsia" w:hAnsi="宋体" w:cs="宋体"/>
                <w:color w:val="000000"/>
                <w:kern w:val="0"/>
                <w:sz w:val="24"/>
                <w:szCs w:val="24"/>
              </w:rPr>
              <w:t>投标人须具有有效的营业执照（提供营业执照复印件并加盖公章）</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资格条件</w:t>
            </w:r>
          </w:p>
        </w:tc>
        <w:tc>
          <w:tcPr>
            <w:tcW w:w="5309" w:type="dxa"/>
            <w:tcBorders>
              <w:top w:val="outset" w:color="auto" w:sz="6" w:space="0"/>
              <w:left w:val="outset" w:color="auto" w:sz="6" w:space="0"/>
              <w:bottom w:val="outset" w:color="auto" w:sz="6" w:space="0"/>
              <w:right w:val="outset" w:color="auto" w:sz="6" w:space="0"/>
            </w:tcBorders>
            <w:vAlign w:val="center"/>
          </w:tcPr>
          <w:p>
            <w:pPr>
              <w:pStyle w:val="166"/>
              <w:shd w:val="clear" w:color="auto" w:fill="FFFFFF"/>
              <w:spacing w:line="240" w:lineRule="auto"/>
              <w:jc w:val="both"/>
              <w:rPr>
                <w:rFonts w:ascii="仿宋_GB2312" w:cs="宋体"/>
                <w:color w:val="000000"/>
                <w:shd w:val="clear" w:color="auto" w:fill="FFFFFF"/>
              </w:rPr>
            </w:pPr>
            <w:r>
              <w:rPr>
                <w:rFonts w:hint="eastAsia" w:ascii="仿宋_GB2312" w:cs="宋体"/>
                <w:color w:val="000000"/>
                <w:shd w:val="clear" w:color="auto" w:fill="FFFFFF"/>
              </w:rPr>
              <w:t>投标人具备电子与智能化工程专业承包资质二级及以上资质（提供资质证书彩色复印件加盖公章）</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信用信息</w:t>
            </w:r>
          </w:p>
        </w:tc>
        <w:tc>
          <w:tcPr>
            <w:tcW w:w="5309" w:type="dxa"/>
            <w:tcBorders>
              <w:top w:val="outset" w:color="auto" w:sz="6" w:space="0"/>
              <w:left w:val="outset" w:color="auto" w:sz="6" w:space="0"/>
              <w:bottom w:val="outset" w:color="auto" w:sz="6" w:space="0"/>
              <w:right w:val="outset" w:color="auto" w:sz="6" w:space="0"/>
            </w:tcBorders>
            <w:vAlign w:val="center"/>
          </w:tcPr>
          <w:p>
            <w:pPr>
              <w:pStyle w:val="166"/>
              <w:shd w:val="clear" w:color="auto" w:fill="FFFFFF"/>
              <w:spacing w:line="240" w:lineRule="auto"/>
              <w:jc w:val="both"/>
              <w:rPr>
                <w:rFonts w:ascii="仿宋_GB2312" w:cs="宋体"/>
                <w:color w:val="000000"/>
                <w:shd w:val="clear" w:color="auto" w:fill="FFFFFF"/>
              </w:rPr>
            </w:pPr>
            <w:r>
              <w:rPr>
                <w:rFonts w:hint="eastAsia" w:ascii="仿宋_GB2312" w:cs="宋体"/>
                <w:color w:val="000000"/>
                <w:shd w:val="clear" w:color="auto" w:fill="FFFFFF"/>
              </w:rPr>
              <w:t>1</w:t>
            </w:r>
            <w:r>
              <w:rPr>
                <w:rFonts w:ascii="仿宋_GB2312" w:cs="宋体"/>
                <w:color w:val="000000"/>
                <w:shd w:val="clear" w:color="auto" w:fill="FFFFFF"/>
              </w:rPr>
              <w:t>.</w:t>
            </w:r>
            <w:r>
              <w:rPr>
                <w:rFonts w:hint="eastAsia" w:ascii="仿宋_GB2312" w:cs="宋体"/>
                <w:color w:val="000000"/>
                <w:shd w:val="clear" w:color="auto" w:fill="FFFFFF"/>
              </w:rPr>
              <w:t>在“信用中国”网站，未被列入失信被执行人；</w:t>
            </w:r>
          </w:p>
          <w:p>
            <w:pPr>
              <w:pStyle w:val="166"/>
              <w:shd w:val="clear" w:color="auto" w:fill="FFFFFF"/>
              <w:spacing w:line="240" w:lineRule="auto"/>
              <w:jc w:val="both"/>
              <w:rPr>
                <w:rFonts w:ascii="仿宋_GB2312" w:cs="宋体"/>
                <w:color w:val="000000"/>
                <w:shd w:val="clear" w:color="auto" w:fill="FFFFFF"/>
              </w:rPr>
            </w:pPr>
            <w:r>
              <w:rPr>
                <w:rFonts w:hint="eastAsia" w:ascii="仿宋_GB2312" w:cs="宋体"/>
                <w:color w:val="000000"/>
                <w:shd w:val="clear" w:color="auto" w:fill="FFFFFF"/>
              </w:rPr>
              <w:t>2</w:t>
            </w:r>
            <w:r>
              <w:rPr>
                <w:rFonts w:ascii="仿宋_GB2312" w:cs="宋体"/>
                <w:color w:val="000000"/>
                <w:shd w:val="clear" w:color="auto" w:fill="FFFFFF"/>
              </w:rPr>
              <w:t>.</w:t>
            </w:r>
            <w:r>
              <w:rPr>
                <w:rFonts w:hint="eastAsia" w:ascii="仿宋_GB2312" w:cs="宋体"/>
                <w:color w:val="000000"/>
                <w:shd w:val="clear" w:color="auto" w:fill="FFFFFF"/>
              </w:rPr>
              <w:t>在“国家企业信用信息公示系统”未被列入严重违法失信企业名单；</w:t>
            </w:r>
          </w:p>
          <w:p>
            <w:pPr>
              <w:pStyle w:val="166"/>
              <w:shd w:val="clear" w:color="auto" w:fill="FFFFFF"/>
              <w:spacing w:line="240" w:lineRule="auto"/>
              <w:jc w:val="both"/>
              <w:rPr>
                <w:rFonts w:ascii="仿宋_GB2312" w:cs="宋体"/>
                <w:color w:val="000000"/>
                <w:shd w:val="clear" w:color="auto" w:fill="FFFFFF"/>
              </w:rPr>
            </w:pPr>
            <w:r>
              <w:rPr>
                <w:rFonts w:hint="eastAsia" w:ascii="仿宋_GB2312" w:cs="宋体"/>
                <w:color w:val="000000"/>
                <w:shd w:val="clear" w:color="auto" w:fill="FFFFFF"/>
              </w:rPr>
              <w:t>3</w:t>
            </w:r>
            <w:r>
              <w:rPr>
                <w:rFonts w:ascii="仿宋_GB2312" w:cs="宋体"/>
                <w:color w:val="000000"/>
                <w:shd w:val="clear" w:color="auto" w:fill="FFFFFF"/>
              </w:rPr>
              <w:t>.</w:t>
            </w:r>
            <w:r>
              <w:rPr>
                <w:rFonts w:hint="eastAsia" w:ascii="仿宋_GB2312" w:cs="宋体"/>
                <w:color w:val="000000"/>
                <w:shd w:val="clear" w:color="auto" w:fill="FFFFFF"/>
              </w:rPr>
              <w:t>在“湖北省公共资源招标投标信用信息平台”未被列入信用黑名单的投标人</w:t>
            </w:r>
          </w:p>
          <w:p>
            <w:pPr>
              <w:pStyle w:val="166"/>
              <w:shd w:val="clear" w:color="auto" w:fill="FFFFFF"/>
              <w:spacing w:line="240" w:lineRule="auto"/>
              <w:jc w:val="both"/>
              <w:rPr>
                <w:rFonts w:ascii="仿宋_GB2312" w:cs="宋体"/>
                <w:color w:val="000000"/>
                <w:shd w:val="clear" w:color="auto" w:fill="FFFFFF"/>
              </w:rPr>
            </w:pPr>
            <w:r>
              <w:rPr>
                <w:rFonts w:hint="eastAsia" w:ascii="仿宋_GB2312" w:cs="宋体"/>
                <w:color w:val="000000"/>
                <w:shd w:val="clear" w:color="auto" w:fill="FFFFFF"/>
              </w:rPr>
              <w:t>（开标结束后由招标人或其委托的招标代理机构按照招标文件要求对所有投标人的信用信息进行查询，做好记录，由评标委员会按招标文件的规定进行评审）</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单位负责人</w:t>
            </w:r>
          </w:p>
        </w:tc>
        <w:tc>
          <w:tcPr>
            <w:tcW w:w="5309" w:type="dxa"/>
            <w:tcBorders>
              <w:top w:val="outset" w:color="auto" w:sz="6" w:space="0"/>
              <w:left w:val="outset" w:color="auto" w:sz="6" w:space="0"/>
              <w:bottom w:val="outset" w:color="auto" w:sz="6" w:space="0"/>
              <w:right w:val="outset" w:color="auto" w:sz="6" w:space="0"/>
            </w:tcBorders>
            <w:vAlign w:val="center"/>
          </w:tcPr>
          <w:p>
            <w:pPr>
              <w:pStyle w:val="166"/>
              <w:shd w:val="clear" w:color="auto" w:fill="FFFFFF"/>
              <w:spacing w:line="240" w:lineRule="auto"/>
              <w:jc w:val="both"/>
              <w:rPr>
                <w:rFonts w:ascii="仿宋_GB2312" w:cs="宋体"/>
                <w:color w:val="000000"/>
                <w:lang w:val="zh-CN"/>
              </w:rPr>
            </w:pPr>
            <w:r>
              <w:rPr>
                <w:rFonts w:hint="eastAsia" w:ascii="仿宋_GB2312" w:cs="宋体"/>
                <w:color w:val="000000"/>
                <w:lang w:val="zh-CN"/>
              </w:rPr>
              <w:t>单位负责人为同一人或者存在控股、管理关系的不同单位，不得同时参加同一标段投标或者未划分标段的同一招标项目投标</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利害关系</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lang w:val="zh-CN"/>
              </w:rPr>
            </w:pPr>
            <w:r>
              <w:rPr>
                <w:rFonts w:hint="eastAsia" w:hAnsi="宋体" w:cs="宋体"/>
                <w:color w:val="000000"/>
                <w:kern w:val="0"/>
                <w:sz w:val="24"/>
                <w:szCs w:val="24"/>
                <w:lang w:val="zh-CN"/>
              </w:rPr>
              <w:t>与招标人存在利害关系可能影响招标公正性的法人、其他组织或者个人，不得参加投标</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联合体</w:t>
            </w:r>
          </w:p>
        </w:tc>
        <w:tc>
          <w:tcPr>
            <w:tcW w:w="5309" w:type="dxa"/>
            <w:tcBorders>
              <w:top w:val="outset" w:color="auto" w:sz="6" w:space="0"/>
              <w:left w:val="outset" w:color="auto" w:sz="6" w:space="0"/>
              <w:bottom w:val="outset" w:color="auto" w:sz="6" w:space="0"/>
              <w:right w:val="outset" w:color="auto" w:sz="6" w:space="0"/>
            </w:tcBorders>
            <w:vAlign w:val="center"/>
          </w:tcPr>
          <w:p>
            <w:pPr>
              <w:pStyle w:val="166"/>
              <w:shd w:val="clear" w:color="auto" w:fill="FFFFFF"/>
              <w:spacing w:line="240" w:lineRule="auto"/>
              <w:jc w:val="both"/>
              <w:rPr>
                <w:rFonts w:ascii="仿宋_GB2312" w:cs="宋体"/>
                <w:color w:val="000000"/>
                <w:lang w:val="zh-CN"/>
              </w:rPr>
            </w:pPr>
            <w:r>
              <w:rPr>
                <w:rFonts w:hint="eastAsia" w:ascii="仿宋_GB2312" w:cs="宋体"/>
                <w:color w:val="000000"/>
              </w:rPr>
              <w:t>本项目不接受联合体投标，投标人须以独立投标人身份参与本项目投标</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restart"/>
            <w:tcBorders>
              <w:top w:val="outset" w:color="auto" w:sz="6" w:space="0"/>
              <w:left w:val="outset" w:color="auto" w:sz="6" w:space="0"/>
              <w:right w:val="outset" w:color="auto" w:sz="6" w:space="0"/>
            </w:tcBorders>
            <w:vAlign w:val="center"/>
          </w:tcPr>
          <w:p>
            <w:pPr>
              <w:jc w:val="center"/>
              <w:rPr>
                <w:rFonts w:hAnsi="宋体" w:cs="宋体"/>
                <w:color w:val="000000"/>
                <w:kern w:val="0"/>
                <w:sz w:val="24"/>
                <w:szCs w:val="24"/>
              </w:rPr>
            </w:pPr>
            <w:r>
              <w:rPr>
                <w:rFonts w:hAnsi="宋体" w:cs="宋体"/>
                <w:color w:val="000000"/>
                <w:kern w:val="0"/>
                <w:sz w:val="24"/>
                <w:szCs w:val="24"/>
              </w:rPr>
              <w:t>2.1.3</w:t>
            </w:r>
          </w:p>
        </w:tc>
        <w:tc>
          <w:tcPr>
            <w:tcW w:w="1114" w:type="dxa"/>
            <w:vMerge w:val="restart"/>
            <w:tcBorders>
              <w:top w:val="outset" w:color="auto" w:sz="6" w:space="0"/>
              <w:left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响应性</w:t>
            </w:r>
          </w:p>
          <w:p>
            <w:pPr>
              <w:jc w:val="center"/>
              <w:rPr>
                <w:rFonts w:hAnsi="宋体" w:cs="宋体"/>
                <w:color w:val="000000"/>
                <w:kern w:val="0"/>
                <w:sz w:val="24"/>
                <w:szCs w:val="24"/>
              </w:rPr>
            </w:pPr>
            <w:r>
              <w:rPr>
                <w:rFonts w:hint="eastAsia" w:hAnsi="宋体" w:cs="宋体"/>
                <w:color w:val="000000"/>
                <w:kern w:val="0"/>
                <w:sz w:val="24"/>
                <w:szCs w:val="24"/>
              </w:rPr>
              <w:t>评审标准</w:t>
            </w: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lang w:val="zh-CN"/>
              </w:rPr>
            </w:pPr>
            <w:r>
              <w:rPr>
                <w:rFonts w:hint="eastAsia" w:hAnsi="宋体" w:cs="宋体"/>
                <w:color w:val="000000"/>
                <w:kern w:val="0"/>
                <w:sz w:val="24"/>
                <w:szCs w:val="24"/>
                <w:lang w:val="zh-CN"/>
              </w:rPr>
              <w:t>投标内容</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lang w:val="zh-CN"/>
              </w:rPr>
            </w:pPr>
            <w:r>
              <w:rPr>
                <w:rFonts w:hint="eastAsia" w:hAnsi="宋体" w:cs="宋体"/>
                <w:color w:val="000000"/>
                <w:kern w:val="0"/>
                <w:sz w:val="24"/>
                <w:szCs w:val="24"/>
                <w:lang w:val="zh-CN"/>
              </w:rPr>
              <w:t>1</w:t>
            </w:r>
            <w:r>
              <w:rPr>
                <w:rFonts w:hAnsi="宋体" w:cs="宋体"/>
                <w:color w:val="000000"/>
                <w:kern w:val="0"/>
                <w:sz w:val="24"/>
                <w:szCs w:val="24"/>
                <w:lang w:val="zh-CN"/>
              </w:rPr>
              <w:t>.</w:t>
            </w:r>
            <w:r>
              <w:rPr>
                <w:rFonts w:hint="eastAsia" w:hAnsi="宋体" w:cs="宋体"/>
                <w:color w:val="000000"/>
                <w:kern w:val="0"/>
                <w:sz w:val="24"/>
                <w:szCs w:val="24"/>
                <w:lang w:val="zh-CN"/>
              </w:rPr>
              <w:t>符合第二章“投标人须知”第</w:t>
            </w:r>
            <w:r>
              <w:rPr>
                <w:rFonts w:hAnsi="宋体" w:cs="宋体"/>
                <w:color w:val="000000"/>
                <w:kern w:val="0"/>
                <w:sz w:val="24"/>
                <w:szCs w:val="24"/>
                <w:lang w:val="zh-CN"/>
              </w:rPr>
              <w:t>1.3</w:t>
            </w:r>
            <w:r>
              <w:rPr>
                <w:rFonts w:hint="eastAsia" w:hAnsi="宋体" w:cs="宋体"/>
                <w:color w:val="000000"/>
                <w:kern w:val="0"/>
                <w:sz w:val="24"/>
                <w:szCs w:val="24"/>
                <w:lang w:val="zh-CN"/>
              </w:rPr>
              <w:t>项规定（招标内容、交付时间等）</w:t>
            </w:r>
          </w:p>
          <w:p>
            <w:pPr>
              <w:rPr>
                <w:rFonts w:hAnsi="宋体" w:cs="宋体"/>
                <w:color w:val="000000"/>
                <w:kern w:val="0"/>
                <w:sz w:val="24"/>
                <w:szCs w:val="24"/>
                <w:lang w:val="zh-CN"/>
              </w:rPr>
            </w:pPr>
            <w:r>
              <w:rPr>
                <w:rFonts w:hAnsi="宋体" w:cs="宋体"/>
                <w:color w:val="000000"/>
                <w:kern w:val="0"/>
                <w:sz w:val="24"/>
                <w:szCs w:val="24"/>
                <w:lang w:val="zh-CN"/>
              </w:rPr>
              <w:t>2.</w:t>
            </w:r>
            <w:r>
              <w:rPr>
                <w:rFonts w:hint="eastAsia" w:hAnsi="宋体" w:cs="宋体"/>
                <w:color w:val="000000"/>
                <w:kern w:val="0"/>
                <w:sz w:val="24"/>
                <w:szCs w:val="24"/>
                <w:lang w:val="zh-CN"/>
              </w:rPr>
              <w:t xml:space="preserve">投标文件满足并覆盖第五章“商务及技术要求” </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投标有效期</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rPr>
            </w:pPr>
            <w:r>
              <w:rPr>
                <w:rFonts w:hint="eastAsia" w:hAnsi="宋体" w:cs="宋体"/>
                <w:color w:val="000000"/>
                <w:kern w:val="0"/>
                <w:sz w:val="24"/>
                <w:szCs w:val="24"/>
              </w:rPr>
              <w:t>自投标截止时间起90天内有效</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权利义务</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rPr>
            </w:pPr>
            <w:r>
              <w:rPr>
                <w:rFonts w:hint="eastAsia" w:hAnsi="宋体" w:cs="宋体"/>
                <w:color w:val="000000"/>
                <w:kern w:val="0"/>
                <w:sz w:val="24"/>
                <w:szCs w:val="24"/>
              </w:rPr>
              <w:t>投标文件中没有招标人不能接受的条件，或者对合同中约定的招标人的权利和投标人的义务方面造成重大限制的内容</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投标价格</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rPr>
            </w:pPr>
            <w:r>
              <w:rPr>
                <w:rFonts w:hint="eastAsia" w:hAnsi="宋体" w:cs="宋体"/>
                <w:color w:val="000000"/>
                <w:kern w:val="0"/>
                <w:sz w:val="24"/>
                <w:szCs w:val="24"/>
              </w:rPr>
              <w:t>投标人的报价或算术错误修正后的投标报价（如有）未超过本项目最高限价</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721" w:type="dxa"/>
            <w:vMerge w:val="continue"/>
            <w:tcBorders>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违法投标行为</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rPr>
            </w:pPr>
            <w:r>
              <w:rPr>
                <w:rFonts w:hint="eastAsia" w:hAnsi="宋体" w:cs="宋体"/>
                <w:color w:val="000000"/>
                <w:kern w:val="0"/>
                <w:sz w:val="24"/>
                <w:szCs w:val="24"/>
              </w:rPr>
              <w:t>评标过程中，评标委员会未发现投标人串通投标，以他人名义投标或以其他弄虚作假方式投标</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1835" w:type="dxa"/>
            <w:gridSpan w:val="2"/>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Ansi="宋体" w:cs="宋体"/>
                <w:color w:val="000000"/>
                <w:kern w:val="0"/>
                <w:sz w:val="24"/>
                <w:szCs w:val="24"/>
              </w:rPr>
              <w:t>2.2.1</w:t>
            </w:r>
          </w:p>
        </w:tc>
        <w:tc>
          <w:tcPr>
            <w:tcW w:w="1701" w:type="dxa"/>
            <w:tcBorders>
              <w:top w:val="outset" w:color="auto" w:sz="6" w:space="0"/>
              <w:left w:val="outset" w:color="auto" w:sz="6" w:space="0"/>
              <w:bottom w:val="outset" w:color="auto" w:sz="6" w:space="0"/>
              <w:right w:val="single" w:color="auto" w:sz="4" w:space="0"/>
            </w:tcBorders>
            <w:vAlign w:val="center"/>
          </w:tcPr>
          <w:p>
            <w:pPr>
              <w:jc w:val="center"/>
              <w:rPr>
                <w:rFonts w:hAnsi="宋体" w:cs="宋体"/>
                <w:kern w:val="0"/>
                <w:sz w:val="24"/>
                <w:szCs w:val="24"/>
              </w:rPr>
            </w:pPr>
            <w:r>
              <w:rPr>
                <w:rFonts w:hint="eastAsia" w:hAnsi="宋体" w:cs="宋体"/>
                <w:kern w:val="0"/>
                <w:sz w:val="24"/>
                <w:szCs w:val="24"/>
              </w:rPr>
              <w:t>分值构成</w:t>
            </w:r>
          </w:p>
          <w:p>
            <w:pPr>
              <w:jc w:val="center"/>
              <w:rPr>
                <w:rFonts w:hAnsi="宋体" w:cs="宋体"/>
                <w:kern w:val="0"/>
                <w:sz w:val="24"/>
                <w:szCs w:val="24"/>
              </w:rPr>
            </w:pPr>
            <w:r>
              <w:rPr>
                <w:rFonts w:hint="eastAsia" w:hAnsi="宋体" w:cs="宋体"/>
                <w:kern w:val="0"/>
                <w:sz w:val="24"/>
                <w:szCs w:val="24"/>
              </w:rPr>
              <w:t>（总分</w:t>
            </w:r>
            <w:r>
              <w:rPr>
                <w:rFonts w:hAnsi="宋体" w:cs="宋体"/>
                <w:kern w:val="0"/>
                <w:sz w:val="24"/>
                <w:szCs w:val="24"/>
              </w:rPr>
              <w:t>100</w:t>
            </w:r>
            <w:r>
              <w:rPr>
                <w:rFonts w:hint="eastAsia" w:hAnsi="宋体" w:cs="宋体"/>
                <w:kern w:val="0"/>
                <w:sz w:val="24"/>
                <w:szCs w:val="24"/>
              </w:rPr>
              <w:t>分）</w:t>
            </w:r>
          </w:p>
        </w:tc>
        <w:tc>
          <w:tcPr>
            <w:tcW w:w="5309" w:type="dxa"/>
            <w:tcBorders>
              <w:top w:val="outset" w:color="auto" w:sz="6" w:space="0"/>
              <w:left w:val="single" w:color="auto" w:sz="4" w:space="0"/>
              <w:bottom w:val="outset" w:color="auto" w:sz="6" w:space="0"/>
              <w:right w:val="outset" w:color="auto" w:sz="6" w:space="0"/>
            </w:tcBorders>
            <w:vAlign w:val="center"/>
          </w:tcPr>
          <w:p>
            <w:pPr>
              <w:rPr>
                <w:rFonts w:hAnsi="宋体" w:cs="宋体"/>
                <w:kern w:val="0"/>
                <w:sz w:val="24"/>
                <w:szCs w:val="24"/>
              </w:rPr>
            </w:pPr>
            <w:r>
              <w:rPr>
                <w:rFonts w:hint="eastAsia" w:hAnsi="宋体" w:cs="宋体"/>
                <w:kern w:val="0"/>
                <w:sz w:val="24"/>
                <w:szCs w:val="24"/>
              </w:rPr>
              <w:t>技术标：</w:t>
            </w:r>
            <w:r>
              <w:rPr>
                <w:rFonts w:hAnsi="宋体" w:cs="宋体"/>
                <w:kern w:val="0"/>
                <w:sz w:val="24"/>
                <w:szCs w:val="24"/>
              </w:rPr>
              <w:t>30</w:t>
            </w:r>
            <w:r>
              <w:rPr>
                <w:rFonts w:hint="eastAsia" w:hAnsi="宋体" w:cs="宋体"/>
                <w:kern w:val="0"/>
                <w:sz w:val="24"/>
                <w:szCs w:val="24"/>
              </w:rPr>
              <w:t>分</w:t>
            </w:r>
          </w:p>
          <w:p>
            <w:pPr>
              <w:rPr>
                <w:rFonts w:hAnsi="宋体" w:cs="宋体"/>
                <w:kern w:val="0"/>
                <w:sz w:val="24"/>
                <w:szCs w:val="24"/>
              </w:rPr>
            </w:pPr>
            <w:r>
              <w:rPr>
                <w:rFonts w:hint="eastAsia" w:hAnsi="宋体" w:cs="宋体"/>
                <w:kern w:val="0"/>
                <w:sz w:val="24"/>
                <w:szCs w:val="24"/>
              </w:rPr>
              <w:t>综合标：</w:t>
            </w:r>
            <w:r>
              <w:rPr>
                <w:rFonts w:hAnsi="宋体" w:cs="宋体"/>
                <w:kern w:val="0"/>
                <w:sz w:val="24"/>
                <w:szCs w:val="24"/>
              </w:rPr>
              <w:t>2</w:t>
            </w:r>
            <w:r>
              <w:rPr>
                <w:rFonts w:hint="eastAsia" w:hAnsi="宋体" w:cs="宋体"/>
                <w:kern w:val="0"/>
                <w:sz w:val="24"/>
                <w:szCs w:val="24"/>
              </w:rPr>
              <w:t>4分</w:t>
            </w:r>
          </w:p>
          <w:p>
            <w:pPr>
              <w:rPr>
                <w:rFonts w:hAnsi="宋体" w:cs="宋体"/>
                <w:kern w:val="0"/>
                <w:sz w:val="24"/>
                <w:szCs w:val="24"/>
              </w:rPr>
            </w:pPr>
            <w:r>
              <w:rPr>
                <w:rFonts w:hint="eastAsia" w:hAnsi="宋体" w:cs="宋体"/>
                <w:kern w:val="0"/>
                <w:sz w:val="24"/>
                <w:szCs w:val="24"/>
              </w:rPr>
              <w:t>经济标：46分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gridAfter w:val="1"/>
          <w:wAfter w:w="9" w:type="dxa"/>
          <w:trHeight w:val="567" w:hRule="atLeast"/>
          <w:jc w:val="center"/>
        </w:trPr>
        <w:tc>
          <w:tcPr>
            <w:tcW w:w="1835" w:type="dxa"/>
            <w:gridSpan w:val="2"/>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条款号</w:t>
            </w: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kern w:val="0"/>
                <w:sz w:val="24"/>
                <w:szCs w:val="24"/>
              </w:rPr>
            </w:pPr>
            <w:r>
              <w:rPr>
                <w:rFonts w:hint="eastAsia" w:hAnsi="宋体" w:cs="宋体"/>
                <w:kern w:val="0"/>
                <w:sz w:val="24"/>
                <w:szCs w:val="24"/>
              </w:rPr>
              <w:t>评审因素</w:t>
            </w:r>
          </w:p>
        </w:tc>
        <w:tc>
          <w:tcPr>
            <w:tcW w:w="5309" w:type="dxa"/>
            <w:tcBorders>
              <w:top w:val="outset" w:color="auto" w:sz="6" w:space="0"/>
              <w:left w:val="outset" w:color="auto" w:sz="6" w:space="0"/>
              <w:bottom w:val="outset" w:color="auto" w:sz="6" w:space="0"/>
              <w:right w:val="outset" w:color="auto" w:sz="6" w:space="0"/>
            </w:tcBorders>
            <w:vAlign w:val="center"/>
          </w:tcPr>
          <w:p>
            <w:pPr>
              <w:rPr>
                <w:rFonts w:hAnsi="宋体" w:cs="宋体"/>
                <w:kern w:val="0"/>
                <w:sz w:val="24"/>
                <w:szCs w:val="24"/>
              </w:rPr>
            </w:pPr>
            <w:r>
              <w:rPr>
                <w:rFonts w:hint="eastAsia" w:hAnsi="宋体" w:cs="宋体"/>
                <w:kern w:val="0"/>
                <w:sz w:val="24"/>
                <w:szCs w:val="24"/>
              </w:rPr>
              <w:t>评审标准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4536" w:hRule="atLeast"/>
          <w:jc w:val="center"/>
        </w:trPr>
        <w:tc>
          <w:tcPr>
            <w:tcW w:w="721" w:type="dxa"/>
            <w:vMerge w:val="restart"/>
            <w:tcBorders>
              <w:top w:val="outset" w:color="auto" w:sz="6" w:space="0"/>
              <w:left w:val="outset" w:color="auto" w:sz="6" w:space="0"/>
              <w:right w:val="outset" w:color="auto" w:sz="6" w:space="0"/>
            </w:tcBorders>
            <w:vAlign w:val="center"/>
          </w:tcPr>
          <w:p>
            <w:pPr>
              <w:jc w:val="center"/>
              <w:rPr>
                <w:rFonts w:hAnsi="宋体" w:cs="宋体"/>
                <w:kern w:val="0"/>
                <w:sz w:val="24"/>
                <w:szCs w:val="24"/>
              </w:rPr>
            </w:pPr>
            <w:r>
              <w:rPr>
                <w:rFonts w:hAnsi="宋体" w:cs="宋体"/>
                <w:kern w:val="0"/>
                <w:sz w:val="24"/>
                <w:szCs w:val="24"/>
              </w:rPr>
              <w:t>2.2.2</w:t>
            </w:r>
            <w:r>
              <w:rPr>
                <w:rFonts w:hint="eastAsia" w:hAnsi="宋体" w:cs="宋体"/>
                <w:kern w:val="0"/>
                <w:sz w:val="24"/>
                <w:szCs w:val="24"/>
              </w:rPr>
              <w:t>（</w:t>
            </w:r>
            <w:r>
              <w:rPr>
                <w:rFonts w:hAnsi="宋体" w:cs="宋体"/>
                <w:kern w:val="0"/>
                <w:sz w:val="24"/>
                <w:szCs w:val="24"/>
              </w:rPr>
              <w:t>1</w:t>
            </w:r>
            <w:r>
              <w:rPr>
                <w:rFonts w:hint="eastAsia" w:hAnsi="宋体" w:cs="宋体"/>
                <w:kern w:val="0"/>
                <w:sz w:val="24"/>
                <w:szCs w:val="24"/>
              </w:rPr>
              <w:t>）</w:t>
            </w:r>
          </w:p>
        </w:tc>
        <w:tc>
          <w:tcPr>
            <w:tcW w:w="1114" w:type="dxa"/>
            <w:vMerge w:val="restart"/>
            <w:tcBorders>
              <w:top w:val="outset" w:color="auto" w:sz="6" w:space="0"/>
              <w:left w:val="outset" w:color="auto" w:sz="6" w:space="0"/>
              <w:right w:val="outset" w:color="auto" w:sz="6" w:space="0"/>
            </w:tcBorders>
            <w:vAlign w:val="center"/>
          </w:tcPr>
          <w:p>
            <w:pPr>
              <w:jc w:val="center"/>
              <w:rPr>
                <w:rFonts w:hAnsi="宋体" w:cs="宋体"/>
                <w:kern w:val="0"/>
                <w:sz w:val="24"/>
                <w:szCs w:val="24"/>
              </w:rPr>
            </w:pPr>
            <w:r>
              <w:rPr>
                <w:rFonts w:hint="eastAsia" w:hAnsi="宋体" w:cs="宋体"/>
                <w:kern w:val="0"/>
                <w:sz w:val="24"/>
                <w:szCs w:val="24"/>
              </w:rPr>
              <w:t>技术评审</w:t>
            </w:r>
          </w:p>
          <w:p>
            <w:pPr>
              <w:jc w:val="center"/>
              <w:rPr>
                <w:rFonts w:hAnsi="宋体" w:cs="宋体"/>
                <w:kern w:val="0"/>
                <w:sz w:val="24"/>
                <w:szCs w:val="24"/>
              </w:rPr>
            </w:pPr>
            <w:r>
              <w:rPr>
                <w:rFonts w:hint="eastAsia" w:hAnsi="宋体" w:cs="宋体"/>
                <w:kern w:val="0"/>
                <w:sz w:val="24"/>
                <w:szCs w:val="24"/>
              </w:rPr>
              <w:t>评分标准</w:t>
            </w:r>
          </w:p>
          <w:p>
            <w:pPr>
              <w:jc w:val="center"/>
              <w:rPr>
                <w:rFonts w:hAnsi="宋体" w:cs="宋体"/>
                <w:kern w:val="0"/>
                <w:sz w:val="24"/>
                <w:szCs w:val="24"/>
              </w:rPr>
            </w:pPr>
            <w:r>
              <w:rPr>
                <w:rFonts w:hint="eastAsia" w:hAnsi="宋体" w:cs="宋体"/>
                <w:kern w:val="0"/>
                <w:sz w:val="24"/>
                <w:szCs w:val="24"/>
              </w:rPr>
              <w:t>（</w:t>
            </w:r>
            <w:r>
              <w:rPr>
                <w:rFonts w:hAnsi="宋体" w:cs="宋体"/>
                <w:kern w:val="0"/>
                <w:sz w:val="24"/>
                <w:szCs w:val="24"/>
              </w:rPr>
              <w:t>30</w:t>
            </w:r>
            <w:r>
              <w:rPr>
                <w:rFonts w:hint="eastAsia" w:hAnsi="宋体" w:cs="宋体"/>
                <w:kern w:val="0"/>
                <w:sz w:val="24"/>
                <w:szCs w:val="24"/>
              </w:rPr>
              <w:t>分）</w:t>
            </w:r>
          </w:p>
        </w:tc>
        <w:tc>
          <w:tcPr>
            <w:tcW w:w="1701" w:type="dxa"/>
            <w:tcBorders>
              <w:top w:val="outset" w:color="auto" w:sz="6" w:space="0"/>
              <w:left w:val="outset" w:color="auto" w:sz="6" w:space="0"/>
              <w:right w:val="outset" w:color="auto" w:sz="6" w:space="0"/>
            </w:tcBorders>
            <w:vAlign w:val="center"/>
          </w:tcPr>
          <w:p>
            <w:pPr>
              <w:widowControl/>
              <w:jc w:val="center"/>
              <w:rPr>
                <w:rFonts w:hAnsi="宋体" w:cs="宋体"/>
                <w:kern w:val="0"/>
                <w:sz w:val="24"/>
                <w:szCs w:val="24"/>
              </w:rPr>
            </w:pPr>
            <w:r>
              <w:rPr>
                <w:rFonts w:hint="eastAsia" w:hAnsi="宋体" w:cs="宋体"/>
                <w:kern w:val="0"/>
                <w:sz w:val="24"/>
                <w:szCs w:val="24"/>
              </w:rPr>
              <w:t>总体建设方案</w:t>
            </w:r>
          </w:p>
          <w:p>
            <w:pPr>
              <w:widowControl/>
              <w:jc w:val="center"/>
              <w:rPr>
                <w:rFonts w:hAnsi="宋体" w:cs="宋体"/>
                <w:kern w:val="0"/>
                <w:sz w:val="24"/>
                <w:szCs w:val="24"/>
                <w:highlight w:val="yellow"/>
              </w:rPr>
            </w:pPr>
            <w:r>
              <w:rPr>
                <w:rFonts w:hint="eastAsia" w:hAnsi="宋体" w:cs="宋体"/>
                <w:kern w:val="0"/>
                <w:sz w:val="24"/>
                <w:szCs w:val="24"/>
              </w:rPr>
              <w:t>（</w:t>
            </w:r>
            <w:r>
              <w:rPr>
                <w:rFonts w:hAnsi="宋体" w:cs="宋体"/>
                <w:kern w:val="0"/>
                <w:sz w:val="24"/>
                <w:szCs w:val="24"/>
              </w:rPr>
              <w:t>13</w:t>
            </w:r>
            <w:r>
              <w:rPr>
                <w:rFonts w:hint="eastAsia" w:hAnsi="宋体" w:cs="宋体"/>
                <w:kern w:val="0"/>
                <w:sz w:val="24"/>
                <w:szCs w:val="24"/>
              </w:rPr>
              <w:t>分）</w:t>
            </w:r>
          </w:p>
        </w:tc>
        <w:tc>
          <w:tcPr>
            <w:tcW w:w="5318" w:type="dxa"/>
            <w:gridSpan w:val="2"/>
            <w:tcBorders>
              <w:top w:val="outset" w:color="auto" w:sz="6" w:space="0"/>
              <w:left w:val="outset" w:color="auto" w:sz="6" w:space="0"/>
              <w:bottom w:val="outset" w:color="auto" w:sz="6" w:space="0"/>
              <w:right w:val="outset" w:color="auto" w:sz="6" w:space="0"/>
            </w:tcBorders>
            <w:vAlign w:val="center"/>
          </w:tcPr>
          <w:p>
            <w:pPr>
              <w:rPr>
                <w:rFonts w:hAnsi="宋体" w:cs="宋体"/>
                <w:kern w:val="0"/>
                <w:sz w:val="24"/>
                <w:szCs w:val="24"/>
              </w:rPr>
            </w:pPr>
            <w:r>
              <w:rPr>
                <w:rFonts w:hint="eastAsia" w:hAnsi="宋体" w:cs="宋体"/>
                <w:kern w:val="0"/>
                <w:sz w:val="24"/>
                <w:szCs w:val="24"/>
              </w:rPr>
              <w:t>投标文件对本项目的总体方案、系统升级后对接方案、硬件资源配置或升级方案、异构系统接口实现方案，结构完整合理。</w:t>
            </w:r>
            <w:r>
              <w:rPr>
                <w:rFonts w:hint="eastAsia" w:hAnsi="宋体" w:cs="宋体"/>
                <w:b/>
                <w:kern w:val="0"/>
                <w:sz w:val="24"/>
                <w:szCs w:val="24"/>
              </w:rPr>
              <w:t>体系架构完整，思路清晰，方案设计合理得3-</w:t>
            </w:r>
            <w:r>
              <w:rPr>
                <w:rFonts w:hAnsi="宋体" w:cs="宋体"/>
                <w:b/>
                <w:kern w:val="0"/>
                <w:sz w:val="24"/>
                <w:szCs w:val="24"/>
              </w:rPr>
              <w:t>7</w:t>
            </w:r>
            <w:r>
              <w:rPr>
                <w:rFonts w:hint="eastAsia" w:hAnsi="宋体" w:cs="宋体"/>
                <w:b/>
                <w:kern w:val="0"/>
                <w:sz w:val="24"/>
                <w:szCs w:val="24"/>
              </w:rPr>
              <w:t>分、一般得0-</w:t>
            </w:r>
            <w:r>
              <w:rPr>
                <w:rFonts w:hAnsi="宋体" w:cs="宋体"/>
                <w:b/>
                <w:kern w:val="0"/>
                <w:sz w:val="24"/>
                <w:szCs w:val="24"/>
              </w:rPr>
              <w:t>3</w:t>
            </w:r>
            <w:r>
              <w:rPr>
                <w:rFonts w:hint="eastAsia" w:hAnsi="宋体" w:cs="宋体"/>
                <w:b/>
                <w:kern w:val="0"/>
                <w:sz w:val="24"/>
                <w:szCs w:val="24"/>
              </w:rPr>
              <w:t>分、不合理不得分。</w:t>
            </w:r>
          </w:p>
          <w:p>
            <w:pPr>
              <w:rPr>
                <w:rFonts w:hAnsi="宋体" w:cs="宋体"/>
                <w:kern w:val="0"/>
                <w:sz w:val="24"/>
                <w:szCs w:val="24"/>
              </w:rPr>
            </w:pPr>
            <w:r>
              <w:rPr>
                <w:rFonts w:hint="eastAsia" w:hAnsi="宋体" w:cs="宋体"/>
                <w:kern w:val="0"/>
                <w:sz w:val="24"/>
                <w:szCs w:val="24"/>
              </w:rPr>
              <w:t>详细阐述实现以下主要功能：商户档案管理、商户能耗管理、商户欠费管理、终端远程控制、商户自助缴费、能源单价设定、用电异常预警、业态能耗分析、线路维护提示、测定读数查询、资金日志、告警事件、角色与帐号管理、综合报表查询、集团权限管理、电表分区管理、系统接口对接。</w:t>
            </w:r>
          </w:p>
          <w:p>
            <w:pPr>
              <w:rPr>
                <w:kern w:val="0"/>
                <w:sz w:val="24"/>
                <w:szCs w:val="24"/>
                <w:highlight w:val="yellow"/>
              </w:rPr>
            </w:pPr>
            <w:r>
              <w:rPr>
                <w:rFonts w:hint="eastAsia" w:hAnsi="宋体" w:cs="宋体"/>
                <w:b/>
                <w:kern w:val="0"/>
                <w:sz w:val="24"/>
                <w:szCs w:val="24"/>
              </w:rPr>
              <w:t>功能描述完整合理得3-</w:t>
            </w:r>
            <w:r>
              <w:rPr>
                <w:rFonts w:hAnsi="宋体" w:cs="宋体"/>
                <w:b/>
                <w:kern w:val="0"/>
                <w:sz w:val="24"/>
                <w:szCs w:val="24"/>
              </w:rPr>
              <w:t>6</w:t>
            </w:r>
            <w:r>
              <w:rPr>
                <w:rFonts w:hint="eastAsia" w:hAnsi="宋体" w:cs="宋体"/>
                <w:b/>
                <w:kern w:val="0"/>
                <w:sz w:val="24"/>
                <w:szCs w:val="24"/>
              </w:rPr>
              <w:t>分、一般得0-</w:t>
            </w:r>
            <w:r>
              <w:rPr>
                <w:rFonts w:hAnsi="宋体" w:cs="宋体"/>
                <w:b/>
                <w:kern w:val="0"/>
                <w:sz w:val="24"/>
                <w:szCs w:val="24"/>
              </w:rPr>
              <w:t>3</w:t>
            </w:r>
            <w:r>
              <w:rPr>
                <w:rFonts w:hint="eastAsia" w:hAnsi="宋体" w:cs="宋体"/>
                <w:b/>
                <w:kern w:val="0"/>
                <w:sz w:val="24"/>
                <w:szCs w:val="24"/>
              </w:rPr>
              <w:t>分、不合理不得分。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721" w:type="dxa"/>
            <w:vMerge w:val="continue"/>
            <w:tcBorders>
              <w:left w:val="outset" w:color="auto" w:sz="6" w:space="0"/>
              <w:right w:val="outset" w:color="auto" w:sz="6" w:space="0"/>
            </w:tcBorders>
            <w:vAlign w:val="center"/>
          </w:tcPr>
          <w:p>
            <w:pPr>
              <w:jc w:val="center"/>
              <w:rPr>
                <w:rFonts w:hAnsi="宋体" w:cs="宋体"/>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kern w:val="0"/>
                <w:sz w:val="24"/>
                <w:szCs w:val="24"/>
              </w:rPr>
            </w:pPr>
          </w:p>
        </w:tc>
        <w:tc>
          <w:tcPr>
            <w:tcW w:w="1701" w:type="dxa"/>
            <w:tcBorders>
              <w:top w:val="outset" w:color="auto" w:sz="6" w:space="0"/>
              <w:left w:val="outset" w:color="auto" w:sz="6" w:space="0"/>
              <w:right w:val="outset" w:color="auto" w:sz="6" w:space="0"/>
            </w:tcBorders>
            <w:vAlign w:val="center"/>
          </w:tcPr>
          <w:p>
            <w:pPr>
              <w:widowControl/>
              <w:jc w:val="center"/>
              <w:rPr>
                <w:rFonts w:hAnsi="宋体" w:cs="宋体"/>
                <w:kern w:val="0"/>
                <w:sz w:val="24"/>
                <w:szCs w:val="24"/>
              </w:rPr>
            </w:pPr>
            <w:r>
              <w:rPr>
                <w:rFonts w:hint="eastAsia" w:hAnsi="宋体" w:cs="宋体"/>
                <w:kern w:val="0"/>
                <w:sz w:val="24"/>
                <w:szCs w:val="24"/>
              </w:rPr>
              <w:t>工期保障措施</w:t>
            </w:r>
          </w:p>
          <w:p>
            <w:pPr>
              <w:widowControl/>
              <w:jc w:val="center"/>
              <w:rPr>
                <w:rFonts w:hAnsi="宋体" w:cs="宋体"/>
                <w:kern w:val="0"/>
                <w:sz w:val="24"/>
                <w:szCs w:val="24"/>
              </w:rPr>
            </w:pPr>
            <w:r>
              <w:rPr>
                <w:rFonts w:hint="eastAsia" w:hAnsi="宋体" w:cs="宋体"/>
                <w:kern w:val="0"/>
                <w:sz w:val="24"/>
                <w:szCs w:val="24"/>
              </w:rPr>
              <w:t>（</w:t>
            </w:r>
            <w:r>
              <w:rPr>
                <w:rFonts w:hAnsi="宋体" w:cs="宋体"/>
                <w:kern w:val="0"/>
                <w:sz w:val="24"/>
                <w:szCs w:val="24"/>
              </w:rPr>
              <w:t>2</w:t>
            </w:r>
            <w:r>
              <w:rPr>
                <w:rFonts w:hint="eastAsia" w:hAnsi="宋体" w:cs="宋体"/>
                <w:kern w:val="0"/>
                <w:sz w:val="24"/>
                <w:szCs w:val="24"/>
              </w:rPr>
              <w:t>分）</w:t>
            </w:r>
          </w:p>
        </w:tc>
        <w:tc>
          <w:tcPr>
            <w:tcW w:w="5318" w:type="dxa"/>
            <w:gridSpan w:val="2"/>
            <w:tcBorders>
              <w:top w:val="outset" w:color="auto" w:sz="6" w:space="0"/>
              <w:left w:val="outset" w:color="auto" w:sz="6" w:space="0"/>
              <w:bottom w:val="outset" w:color="auto" w:sz="6" w:space="0"/>
              <w:right w:val="outset" w:color="auto" w:sz="6" w:space="0"/>
            </w:tcBorders>
            <w:vAlign w:val="center"/>
          </w:tcPr>
          <w:p>
            <w:pPr>
              <w:rPr>
                <w:rFonts w:hAnsi="宋体" w:cs="宋体"/>
                <w:kern w:val="0"/>
                <w:sz w:val="24"/>
                <w:szCs w:val="24"/>
              </w:rPr>
            </w:pPr>
            <w:r>
              <w:rPr>
                <w:rFonts w:hint="eastAsia" w:hAnsi="宋体" w:cs="宋体"/>
                <w:kern w:val="0"/>
                <w:sz w:val="24"/>
                <w:szCs w:val="24"/>
              </w:rPr>
              <w:t>投标单位提供合理的工期安排及措施，有完整的开发实施</w:t>
            </w:r>
            <w:r>
              <w:rPr>
                <w:rFonts w:hAnsi="宋体" w:cs="宋体"/>
                <w:kern w:val="0"/>
                <w:sz w:val="24"/>
                <w:szCs w:val="24"/>
              </w:rPr>
              <w:t>进度</w:t>
            </w:r>
            <w:r>
              <w:rPr>
                <w:rFonts w:hint="eastAsia" w:hAnsi="宋体" w:cs="宋体"/>
                <w:kern w:val="0"/>
                <w:sz w:val="24"/>
                <w:szCs w:val="24"/>
              </w:rPr>
              <w:t>计划和工期表得</w:t>
            </w:r>
            <w:r>
              <w:rPr>
                <w:rFonts w:hAnsi="宋体" w:cs="宋体"/>
                <w:kern w:val="0"/>
                <w:sz w:val="24"/>
                <w:szCs w:val="24"/>
              </w:rPr>
              <w:t>2</w:t>
            </w:r>
            <w:r>
              <w:rPr>
                <w:rFonts w:hint="eastAsia" w:hAnsi="宋体" w:cs="宋体"/>
                <w:kern w:val="0"/>
                <w:sz w:val="24"/>
                <w:szCs w:val="24"/>
              </w:rPr>
              <w:t>分，没有不得分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402" w:hRule="atLeast"/>
          <w:jc w:val="center"/>
        </w:trPr>
        <w:tc>
          <w:tcPr>
            <w:tcW w:w="721" w:type="dxa"/>
            <w:vMerge w:val="continue"/>
            <w:tcBorders>
              <w:left w:val="outset" w:color="auto" w:sz="6" w:space="0"/>
              <w:right w:val="outset" w:color="auto" w:sz="6" w:space="0"/>
            </w:tcBorders>
            <w:vAlign w:val="center"/>
          </w:tcPr>
          <w:p>
            <w:pPr>
              <w:jc w:val="center"/>
              <w:rPr>
                <w:rFonts w:hAnsi="宋体" w:cs="宋体"/>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kern w:val="0"/>
                <w:sz w:val="24"/>
                <w:szCs w:val="24"/>
              </w:rPr>
            </w:pPr>
          </w:p>
        </w:tc>
        <w:tc>
          <w:tcPr>
            <w:tcW w:w="1701" w:type="dxa"/>
            <w:tcBorders>
              <w:top w:val="outset" w:color="auto" w:sz="6" w:space="0"/>
              <w:left w:val="outset" w:color="auto" w:sz="6" w:space="0"/>
              <w:right w:val="outset" w:color="auto" w:sz="6" w:space="0"/>
            </w:tcBorders>
            <w:vAlign w:val="center"/>
          </w:tcPr>
          <w:p>
            <w:pPr>
              <w:widowControl/>
              <w:jc w:val="center"/>
              <w:rPr>
                <w:rFonts w:hAnsi="宋体" w:cs="宋体"/>
                <w:kern w:val="0"/>
                <w:sz w:val="24"/>
                <w:szCs w:val="24"/>
              </w:rPr>
            </w:pPr>
            <w:r>
              <w:rPr>
                <w:rFonts w:hint="eastAsia" w:hAnsi="宋体" w:cs="宋体"/>
                <w:kern w:val="0"/>
                <w:sz w:val="24"/>
                <w:szCs w:val="24"/>
              </w:rPr>
              <w:t>存量电表</w:t>
            </w:r>
          </w:p>
          <w:p>
            <w:pPr>
              <w:widowControl/>
              <w:jc w:val="center"/>
              <w:rPr>
                <w:rFonts w:hAnsi="宋体" w:cs="宋体"/>
                <w:kern w:val="0"/>
                <w:sz w:val="24"/>
                <w:szCs w:val="24"/>
              </w:rPr>
            </w:pPr>
            <w:r>
              <w:rPr>
                <w:rFonts w:hint="eastAsia" w:hAnsi="宋体" w:cs="宋体"/>
                <w:kern w:val="0"/>
                <w:sz w:val="24"/>
                <w:szCs w:val="24"/>
              </w:rPr>
              <w:t>改造方案</w:t>
            </w:r>
          </w:p>
          <w:p>
            <w:pPr>
              <w:widowControl/>
              <w:jc w:val="center"/>
              <w:rPr>
                <w:rFonts w:hAnsi="宋体" w:cs="宋体"/>
                <w:kern w:val="0"/>
                <w:sz w:val="24"/>
                <w:szCs w:val="24"/>
              </w:rPr>
            </w:pPr>
            <w:r>
              <w:rPr>
                <w:rFonts w:hint="eastAsia" w:hAnsi="宋体" w:cs="宋体"/>
                <w:kern w:val="0"/>
                <w:sz w:val="24"/>
                <w:szCs w:val="24"/>
              </w:rPr>
              <w:t>（</w:t>
            </w:r>
            <w:r>
              <w:rPr>
                <w:rFonts w:hAnsi="宋体" w:cs="宋体"/>
                <w:kern w:val="0"/>
                <w:sz w:val="24"/>
                <w:szCs w:val="24"/>
              </w:rPr>
              <w:t>10</w:t>
            </w:r>
            <w:r>
              <w:rPr>
                <w:rFonts w:hint="eastAsia" w:hAnsi="宋体" w:cs="宋体"/>
                <w:kern w:val="0"/>
                <w:sz w:val="24"/>
                <w:szCs w:val="24"/>
              </w:rPr>
              <w:t>分）</w:t>
            </w:r>
          </w:p>
        </w:tc>
        <w:tc>
          <w:tcPr>
            <w:tcW w:w="5318" w:type="dxa"/>
            <w:gridSpan w:val="2"/>
            <w:tcBorders>
              <w:top w:val="outset" w:color="auto" w:sz="6" w:space="0"/>
              <w:left w:val="outset" w:color="auto" w:sz="6" w:space="0"/>
              <w:bottom w:val="outset" w:color="auto" w:sz="6" w:space="0"/>
              <w:right w:val="outset" w:color="auto" w:sz="6" w:space="0"/>
            </w:tcBorders>
            <w:vAlign w:val="center"/>
          </w:tcPr>
          <w:p>
            <w:pPr>
              <w:rPr>
                <w:rFonts w:hAnsi="宋体" w:cs="宋体"/>
                <w:kern w:val="0"/>
                <w:sz w:val="24"/>
                <w:szCs w:val="24"/>
              </w:rPr>
            </w:pPr>
            <w:r>
              <w:rPr>
                <w:rFonts w:hAnsi="宋体" w:cs="宋体"/>
                <w:kern w:val="0"/>
                <w:sz w:val="24"/>
                <w:szCs w:val="24"/>
              </w:rPr>
              <w:t>投标文件</w:t>
            </w:r>
            <w:r>
              <w:rPr>
                <w:rFonts w:hint="eastAsia" w:hAnsi="宋体" w:cs="宋体"/>
                <w:kern w:val="0"/>
                <w:sz w:val="24"/>
                <w:szCs w:val="24"/>
              </w:rPr>
              <w:t>针对存量电表（山东“岳嘉”DDSH1599型多用户电能表）提出详细改造方案，确保其能通过</w:t>
            </w:r>
            <w:r>
              <w:rPr>
                <w:rFonts w:hAnsi="宋体" w:cs="宋体"/>
                <w:kern w:val="0"/>
                <w:sz w:val="24"/>
                <w:szCs w:val="24"/>
              </w:rPr>
              <w:t>RS-485接口远程传输电表数据及阀控</w:t>
            </w:r>
            <w:r>
              <w:rPr>
                <w:rFonts w:hint="eastAsia" w:hAnsi="宋体" w:cs="宋体"/>
                <w:kern w:val="0"/>
                <w:sz w:val="24"/>
                <w:szCs w:val="24"/>
              </w:rPr>
              <w:t>进行统一管理，采用的数据集中器需具备不少于</w:t>
            </w:r>
            <w:r>
              <w:rPr>
                <w:rFonts w:hAnsi="宋体" w:cs="宋体"/>
                <w:kern w:val="0"/>
                <w:sz w:val="24"/>
                <w:szCs w:val="24"/>
              </w:rPr>
              <w:t>4个下行RS485接口，2个Mbus接口，并兼容无线Lora通讯功能，上行支持内置4G和以太网通讯并能接入用电管理系统</w:t>
            </w:r>
            <w:r>
              <w:rPr>
                <w:rFonts w:hint="eastAsia" w:hAnsi="宋体" w:cs="宋体"/>
                <w:kern w:val="0"/>
                <w:sz w:val="24"/>
                <w:szCs w:val="24"/>
              </w:rPr>
              <w:t>进行统一管理。</w:t>
            </w:r>
          </w:p>
          <w:p>
            <w:pPr>
              <w:rPr>
                <w:rFonts w:hAnsi="宋体" w:cs="宋体"/>
                <w:b/>
                <w:kern w:val="0"/>
                <w:sz w:val="24"/>
                <w:szCs w:val="24"/>
              </w:rPr>
            </w:pPr>
            <w:r>
              <w:rPr>
                <w:rFonts w:hint="eastAsia" w:hAnsi="宋体" w:cs="宋体"/>
                <w:b/>
                <w:kern w:val="0"/>
                <w:sz w:val="24"/>
                <w:szCs w:val="24"/>
              </w:rPr>
              <w:t>方案思路清晰，详细具体，具备可实施性得</w:t>
            </w:r>
            <w:r>
              <w:rPr>
                <w:rFonts w:hAnsi="宋体" w:cs="宋体"/>
                <w:b/>
                <w:kern w:val="0"/>
                <w:sz w:val="24"/>
                <w:szCs w:val="24"/>
              </w:rPr>
              <w:t>5</w:t>
            </w:r>
            <w:r>
              <w:rPr>
                <w:rFonts w:hint="eastAsia" w:hAnsi="宋体" w:cs="宋体"/>
                <w:b/>
                <w:kern w:val="0"/>
                <w:sz w:val="24"/>
                <w:szCs w:val="24"/>
              </w:rPr>
              <w:t>-</w:t>
            </w:r>
            <w:r>
              <w:rPr>
                <w:rFonts w:hAnsi="宋体" w:cs="宋体"/>
                <w:b/>
                <w:kern w:val="0"/>
                <w:sz w:val="24"/>
                <w:szCs w:val="24"/>
              </w:rPr>
              <w:t>10</w:t>
            </w:r>
            <w:r>
              <w:rPr>
                <w:rFonts w:hint="eastAsia" w:hAnsi="宋体" w:cs="宋体"/>
                <w:b/>
                <w:kern w:val="0"/>
                <w:sz w:val="24"/>
                <w:szCs w:val="24"/>
              </w:rPr>
              <w:t>分；方案结构一般，具备可实施性得1-</w:t>
            </w:r>
            <w:r>
              <w:rPr>
                <w:rFonts w:hAnsi="宋体" w:cs="宋体"/>
                <w:b/>
                <w:kern w:val="0"/>
                <w:sz w:val="24"/>
                <w:szCs w:val="24"/>
              </w:rPr>
              <w:t>5分；</w:t>
            </w:r>
          </w:p>
          <w:p>
            <w:pPr>
              <w:rPr>
                <w:rFonts w:hAnsi="宋体" w:cs="宋体"/>
                <w:kern w:val="0"/>
                <w:sz w:val="24"/>
                <w:szCs w:val="24"/>
              </w:rPr>
            </w:pPr>
            <w:r>
              <w:rPr>
                <w:rFonts w:hint="eastAsia" w:hAnsi="宋体" w:cs="宋体"/>
                <w:b/>
                <w:kern w:val="0"/>
                <w:sz w:val="24"/>
                <w:szCs w:val="24"/>
              </w:rPr>
              <w:t>无改造方案或方案不具备可实施性不得分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402" w:hRule="atLeast"/>
          <w:jc w:val="center"/>
        </w:trPr>
        <w:tc>
          <w:tcPr>
            <w:tcW w:w="721"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701" w:type="dxa"/>
            <w:tcBorders>
              <w:top w:val="outset" w:color="auto" w:sz="6" w:space="0"/>
              <w:left w:val="outset" w:color="auto" w:sz="6" w:space="0"/>
              <w:right w:val="outset" w:color="auto" w:sz="6" w:space="0"/>
            </w:tcBorders>
            <w:vAlign w:val="center"/>
          </w:tcPr>
          <w:p>
            <w:pPr>
              <w:widowControl/>
              <w:jc w:val="center"/>
              <w:rPr>
                <w:rFonts w:hAnsi="宋体" w:cs="宋体"/>
                <w:kern w:val="0"/>
                <w:sz w:val="24"/>
                <w:szCs w:val="24"/>
              </w:rPr>
            </w:pPr>
            <w:r>
              <w:rPr>
                <w:rFonts w:hint="eastAsia" w:hAnsi="宋体" w:cs="宋体"/>
                <w:kern w:val="0"/>
                <w:sz w:val="24"/>
                <w:szCs w:val="24"/>
              </w:rPr>
              <w:t>售后服务承诺</w:t>
            </w:r>
          </w:p>
          <w:p>
            <w:pPr>
              <w:widowControl/>
              <w:jc w:val="center"/>
              <w:rPr>
                <w:rFonts w:hAnsi="宋体" w:cs="宋体"/>
                <w:kern w:val="0"/>
                <w:sz w:val="24"/>
                <w:szCs w:val="24"/>
              </w:rPr>
            </w:pPr>
            <w:r>
              <w:rPr>
                <w:rFonts w:hint="eastAsia" w:hAnsi="宋体" w:cs="宋体"/>
                <w:kern w:val="0"/>
                <w:sz w:val="24"/>
                <w:szCs w:val="24"/>
              </w:rPr>
              <w:t>（</w:t>
            </w:r>
            <w:r>
              <w:rPr>
                <w:rFonts w:hAnsi="宋体" w:cs="宋体"/>
                <w:kern w:val="0"/>
                <w:sz w:val="24"/>
                <w:szCs w:val="24"/>
              </w:rPr>
              <w:t>5</w:t>
            </w:r>
            <w:r>
              <w:rPr>
                <w:rFonts w:hint="eastAsia" w:hAnsi="宋体" w:cs="宋体"/>
                <w:kern w:val="0"/>
                <w:sz w:val="24"/>
                <w:szCs w:val="24"/>
              </w:rPr>
              <w:t>分）</w:t>
            </w:r>
          </w:p>
        </w:tc>
        <w:tc>
          <w:tcPr>
            <w:tcW w:w="5318" w:type="dxa"/>
            <w:gridSpan w:val="2"/>
            <w:tcBorders>
              <w:top w:val="outset" w:color="auto" w:sz="6" w:space="0"/>
              <w:left w:val="outset" w:color="auto" w:sz="6" w:space="0"/>
              <w:bottom w:val="outset" w:color="auto" w:sz="6" w:space="0"/>
              <w:right w:val="outset" w:color="auto" w:sz="6" w:space="0"/>
            </w:tcBorders>
            <w:vAlign w:val="center"/>
          </w:tcPr>
          <w:p>
            <w:pPr>
              <w:rPr>
                <w:rFonts w:cs="宋体"/>
                <w:kern w:val="0"/>
                <w:sz w:val="24"/>
              </w:rPr>
            </w:pPr>
            <w:r>
              <w:rPr>
                <w:rFonts w:hint="eastAsia" w:hAnsi="宋体" w:cs="宋体"/>
                <w:kern w:val="0"/>
                <w:sz w:val="24"/>
                <w:szCs w:val="24"/>
              </w:rPr>
              <w:t>1</w:t>
            </w:r>
            <w:r>
              <w:rPr>
                <w:rFonts w:hAnsi="宋体" w:cs="宋体"/>
                <w:kern w:val="0"/>
                <w:sz w:val="24"/>
                <w:szCs w:val="24"/>
              </w:rPr>
              <w:t>.</w:t>
            </w:r>
            <w:r>
              <w:rPr>
                <w:rFonts w:hint="eastAsia" w:hAnsi="宋体" w:cs="宋体"/>
                <w:kern w:val="0"/>
                <w:sz w:val="24"/>
                <w:szCs w:val="24"/>
              </w:rPr>
              <w:t>投标人提供详细的售后服务方案，承诺报修</w:t>
            </w:r>
            <w:r>
              <w:rPr>
                <w:rFonts w:hAnsi="宋体" w:cs="宋体"/>
                <w:kern w:val="0"/>
                <w:sz w:val="24"/>
                <w:szCs w:val="24"/>
              </w:rPr>
              <w:t>1小时内响应，</w:t>
            </w:r>
            <w:r>
              <w:rPr>
                <w:rFonts w:hint="eastAsia" w:hAnsi="宋体" w:cs="宋体"/>
                <w:kern w:val="0"/>
                <w:sz w:val="24"/>
                <w:szCs w:val="24"/>
              </w:rPr>
              <w:t>并</w:t>
            </w:r>
            <w:r>
              <w:rPr>
                <w:rFonts w:hAnsi="宋体" w:cs="宋体"/>
                <w:kern w:val="0"/>
                <w:sz w:val="24"/>
                <w:szCs w:val="24"/>
              </w:rPr>
              <w:t>在</w:t>
            </w:r>
            <w:r>
              <w:rPr>
                <w:rFonts w:hint="eastAsia" w:hAnsi="宋体" w:cs="宋体"/>
                <w:kern w:val="0"/>
                <w:sz w:val="24"/>
                <w:szCs w:val="24"/>
              </w:rPr>
              <w:t>质保期内免费提供相关技术支持（包含且不仅限于系统</w:t>
            </w:r>
            <w:r>
              <w:rPr>
                <w:rFonts w:hAnsi="宋体" w:cs="宋体"/>
                <w:kern w:val="0"/>
                <w:sz w:val="24"/>
                <w:szCs w:val="24"/>
              </w:rPr>
              <w:t xml:space="preserve">BUG </w:t>
            </w:r>
            <w:r>
              <w:rPr>
                <w:rFonts w:hint="eastAsia" w:hAnsi="宋体" w:cs="宋体"/>
                <w:kern w:val="0"/>
                <w:sz w:val="24"/>
                <w:szCs w:val="24"/>
              </w:rPr>
              <w:t>修复、系统功能完善及新功能开发等）得</w:t>
            </w:r>
            <w:r>
              <w:rPr>
                <w:rFonts w:hAnsi="宋体" w:cs="宋体"/>
                <w:kern w:val="0"/>
                <w:sz w:val="24"/>
                <w:szCs w:val="24"/>
              </w:rPr>
              <w:t>3</w:t>
            </w:r>
            <w:r>
              <w:rPr>
                <w:rFonts w:hint="eastAsia" w:hAnsi="宋体" w:cs="宋体"/>
                <w:kern w:val="0"/>
                <w:sz w:val="24"/>
                <w:szCs w:val="24"/>
              </w:rPr>
              <w:t>分</w:t>
            </w:r>
          </w:p>
          <w:p>
            <w:pPr>
              <w:pStyle w:val="21"/>
              <w:spacing w:after="0"/>
              <w:rPr>
                <w:rFonts w:ascii="仿宋_GB2312" w:cs="宋体"/>
                <w:kern w:val="0"/>
                <w:sz w:val="24"/>
              </w:rPr>
            </w:pPr>
            <w:r>
              <w:rPr>
                <w:rFonts w:cs="宋体"/>
                <w:kern w:val="0"/>
                <w:sz w:val="24"/>
              </w:rPr>
              <w:t>2.</w:t>
            </w:r>
            <w:r>
              <w:rPr>
                <w:rFonts w:hint="eastAsia" w:cs="宋体"/>
                <w:kern w:val="0"/>
                <w:sz w:val="24"/>
              </w:rPr>
              <w:t>投标人承诺管理系统及设施设备验收合格后提供不低于一年的免费质量保障服务得</w:t>
            </w:r>
            <w:r>
              <w:rPr>
                <w:rFonts w:cs="宋体"/>
                <w:kern w:val="0"/>
                <w:sz w:val="24"/>
              </w:rPr>
              <w:t>1分，</w:t>
            </w:r>
            <w:r>
              <w:rPr>
                <w:rFonts w:hint="eastAsia" w:cs="宋体"/>
                <w:kern w:val="0"/>
                <w:sz w:val="24"/>
              </w:rPr>
              <w:t>每增加一年加</w:t>
            </w:r>
            <w:r>
              <w:rPr>
                <w:rFonts w:cs="宋体"/>
                <w:kern w:val="0"/>
                <w:sz w:val="24"/>
              </w:rPr>
              <w:t>1</w:t>
            </w:r>
            <w:r>
              <w:rPr>
                <w:rFonts w:hint="eastAsia" w:cs="宋体"/>
                <w:kern w:val="0"/>
                <w:sz w:val="24"/>
              </w:rPr>
              <w:t>分，本项最多得</w:t>
            </w:r>
            <w:r>
              <w:rPr>
                <w:rFonts w:cs="宋体"/>
                <w:kern w:val="0"/>
                <w:sz w:val="24"/>
              </w:rPr>
              <w:t>2</w:t>
            </w:r>
            <w:r>
              <w:rPr>
                <w:rFonts w:hint="eastAsia" w:cs="宋体"/>
                <w:kern w:val="0"/>
                <w:sz w:val="24"/>
              </w:rPr>
              <w:t>分</w:t>
            </w:r>
          </w:p>
          <w:p>
            <w:pPr>
              <w:pStyle w:val="21"/>
              <w:spacing w:after="0"/>
              <w:rPr>
                <w:rFonts w:ascii="仿宋_GB2312" w:cs="宋体"/>
                <w:kern w:val="0"/>
                <w:sz w:val="24"/>
              </w:rPr>
            </w:pPr>
            <w:r>
              <w:rPr>
                <w:rFonts w:hint="eastAsia" w:cs="宋体"/>
                <w:b/>
                <w:kern w:val="0"/>
                <w:sz w:val="24"/>
              </w:rPr>
              <w:t>（以上内容需提供书面承诺并加盖公章，否则视为无效承诺，不得分）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2268" w:hRule="atLeast"/>
          <w:jc w:val="center"/>
        </w:trPr>
        <w:tc>
          <w:tcPr>
            <w:tcW w:w="721" w:type="dxa"/>
            <w:vMerge w:val="restart"/>
            <w:tcBorders>
              <w:top w:val="outset" w:color="auto" w:sz="6" w:space="0"/>
              <w:left w:val="outset" w:color="auto" w:sz="6" w:space="0"/>
              <w:right w:val="outset" w:color="auto" w:sz="6" w:space="0"/>
            </w:tcBorders>
            <w:vAlign w:val="center"/>
          </w:tcPr>
          <w:p>
            <w:pPr>
              <w:jc w:val="center"/>
              <w:rPr>
                <w:rFonts w:hAnsi="宋体" w:cs="宋体"/>
                <w:color w:val="000000"/>
                <w:kern w:val="0"/>
                <w:sz w:val="24"/>
                <w:szCs w:val="24"/>
              </w:rPr>
            </w:pPr>
            <w:r>
              <w:rPr>
                <w:rFonts w:hAnsi="宋体" w:cs="宋体"/>
                <w:color w:val="000000"/>
                <w:kern w:val="0"/>
                <w:sz w:val="24"/>
                <w:szCs w:val="24"/>
              </w:rPr>
              <w:t>2.2.2</w:t>
            </w:r>
            <w:r>
              <w:rPr>
                <w:rFonts w:hint="eastAsia" w:hAnsi="宋体" w:cs="宋体"/>
                <w:color w:val="000000"/>
                <w:kern w:val="0"/>
                <w:sz w:val="24"/>
                <w:szCs w:val="24"/>
              </w:rPr>
              <w:t>（</w:t>
            </w:r>
            <w:r>
              <w:rPr>
                <w:rFonts w:hAnsi="宋体" w:cs="宋体"/>
                <w:color w:val="000000"/>
                <w:kern w:val="0"/>
                <w:sz w:val="24"/>
                <w:szCs w:val="24"/>
              </w:rPr>
              <w:t>2</w:t>
            </w:r>
            <w:r>
              <w:rPr>
                <w:rFonts w:hint="eastAsia" w:hAnsi="宋体" w:cs="宋体"/>
                <w:color w:val="000000"/>
                <w:kern w:val="0"/>
                <w:sz w:val="24"/>
                <w:szCs w:val="24"/>
              </w:rPr>
              <w:t>）</w:t>
            </w:r>
          </w:p>
        </w:tc>
        <w:tc>
          <w:tcPr>
            <w:tcW w:w="1114" w:type="dxa"/>
            <w:vMerge w:val="restart"/>
            <w:tcBorders>
              <w:top w:val="outset" w:color="auto" w:sz="6" w:space="0"/>
              <w:left w:val="outset" w:color="auto" w:sz="6" w:space="0"/>
              <w:right w:val="outset" w:color="auto" w:sz="6" w:space="0"/>
            </w:tcBorders>
            <w:vAlign w:val="center"/>
          </w:tcPr>
          <w:p>
            <w:pPr>
              <w:jc w:val="center"/>
              <w:rPr>
                <w:rFonts w:hAnsi="宋体" w:cs="宋体"/>
                <w:kern w:val="0"/>
                <w:sz w:val="24"/>
                <w:szCs w:val="24"/>
              </w:rPr>
            </w:pPr>
            <w:r>
              <w:rPr>
                <w:rFonts w:hint="eastAsia" w:hAnsi="宋体" w:cs="宋体"/>
                <w:kern w:val="0"/>
                <w:sz w:val="24"/>
                <w:szCs w:val="24"/>
              </w:rPr>
              <w:t>综合评审</w:t>
            </w:r>
          </w:p>
          <w:p>
            <w:pPr>
              <w:jc w:val="center"/>
              <w:rPr>
                <w:rFonts w:hAnsi="宋体" w:cs="宋体"/>
                <w:kern w:val="0"/>
                <w:sz w:val="24"/>
                <w:szCs w:val="24"/>
              </w:rPr>
            </w:pPr>
            <w:r>
              <w:rPr>
                <w:rFonts w:hint="eastAsia" w:hAnsi="宋体" w:cs="宋体"/>
                <w:kern w:val="0"/>
                <w:sz w:val="24"/>
                <w:szCs w:val="24"/>
              </w:rPr>
              <w:t>评分标准</w:t>
            </w:r>
          </w:p>
          <w:p>
            <w:pPr>
              <w:jc w:val="center"/>
              <w:rPr>
                <w:rFonts w:hAnsi="宋体" w:cs="宋体"/>
                <w:kern w:val="0"/>
                <w:sz w:val="24"/>
                <w:szCs w:val="24"/>
              </w:rPr>
            </w:pPr>
            <w:r>
              <w:rPr>
                <w:rFonts w:hint="eastAsia" w:hAnsi="宋体" w:cs="宋体"/>
                <w:kern w:val="0"/>
                <w:sz w:val="24"/>
                <w:szCs w:val="24"/>
              </w:rPr>
              <w:t>（</w:t>
            </w:r>
            <w:r>
              <w:rPr>
                <w:rFonts w:hAnsi="宋体" w:cs="宋体"/>
                <w:kern w:val="0"/>
                <w:sz w:val="24"/>
                <w:szCs w:val="24"/>
              </w:rPr>
              <w:t>24</w:t>
            </w:r>
            <w:r>
              <w:rPr>
                <w:rFonts w:hint="eastAsia" w:hAnsi="宋体" w:cs="宋体"/>
                <w:kern w:val="0"/>
                <w:sz w:val="24"/>
                <w:szCs w:val="24"/>
              </w:rPr>
              <w:t>分）</w:t>
            </w:r>
          </w:p>
        </w:tc>
        <w:tc>
          <w:tcPr>
            <w:tcW w:w="1701" w:type="dxa"/>
            <w:tcBorders>
              <w:top w:val="outset" w:color="auto" w:sz="6" w:space="0"/>
              <w:left w:val="outset" w:color="auto" w:sz="6" w:space="0"/>
              <w:right w:val="outset" w:color="auto" w:sz="6" w:space="0"/>
            </w:tcBorders>
            <w:vAlign w:val="center"/>
          </w:tcPr>
          <w:p>
            <w:pPr>
              <w:widowControl/>
              <w:jc w:val="center"/>
              <w:rPr>
                <w:rFonts w:hAnsi="宋体" w:cs="宋体"/>
                <w:kern w:val="0"/>
                <w:sz w:val="24"/>
                <w:szCs w:val="24"/>
              </w:rPr>
            </w:pPr>
            <w:r>
              <w:rPr>
                <w:rFonts w:hint="eastAsia" w:hAnsi="宋体" w:cs="宋体"/>
                <w:kern w:val="0"/>
                <w:sz w:val="24"/>
                <w:szCs w:val="24"/>
              </w:rPr>
              <w:t>案例业绩</w:t>
            </w:r>
          </w:p>
          <w:p>
            <w:pPr>
              <w:widowControl/>
              <w:jc w:val="center"/>
              <w:rPr>
                <w:rFonts w:hAnsi="宋体" w:cs="宋体"/>
                <w:kern w:val="0"/>
                <w:sz w:val="24"/>
                <w:szCs w:val="24"/>
              </w:rPr>
            </w:pPr>
            <w:r>
              <w:rPr>
                <w:rFonts w:hint="eastAsia" w:hAnsi="宋体" w:cs="宋体"/>
                <w:kern w:val="0"/>
                <w:sz w:val="24"/>
                <w:szCs w:val="24"/>
              </w:rPr>
              <w:t>（</w:t>
            </w:r>
            <w:r>
              <w:rPr>
                <w:rFonts w:hAnsi="宋体" w:cs="宋体"/>
                <w:kern w:val="0"/>
                <w:sz w:val="24"/>
                <w:szCs w:val="24"/>
              </w:rPr>
              <w:t>6</w:t>
            </w:r>
            <w:r>
              <w:rPr>
                <w:rFonts w:hint="eastAsia" w:hAnsi="宋体" w:cs="宋体"/>
                <w:kern w:val="0"/>
                <w:sz w:val="24"/>
                <w:szCs w:val="24"/>
              </w:rPr>
              <w:t>分）</w:t>
            </w:r>
          </w:p>
        </w:tc>
        <w:tc>
          <w:tcPr>
            <w:tcW w:w="5318" w:type="dxa"/>
            <w:gridSpan w:val="2"/>
            <w:tcBorders>
              <w:top w:val="outset" w:color="auto" w:sz="6" w:space="0"/>
              <w:left w:val="outset" w:color="auto" w:sz="6" w:space="0"/>
              <w:bottom w:val="outset" w:color="auto" w:sz="6" w:space="0"/>
              <w:right w:val="outset" w:color="auto" w:sz="6" w:space="0"/>
            </w:tcBorders>
            <w:vAlign w:val="center"/>
          </w:tcPr>
          <w:p>
            <w:pPr>
              <w:rPr>
                <w:rFonts w:hAnsi="宋体" w:cs="宋体"/>
                <w:bCs/>
                <w:kern w:val="0"/>
                <w:sz w:val="24"/>
                <w:szCs w:val="24"/>
              </w:rPr>
            </w:pPr>
            <w:r>
              <w:rPr>
                <w:rFonts w:hint="eastAsia" w:hAnsi="宋体" w:cs="宋体"/>
                <w:bCs/>
                <w:kern w:val="0"/>
                <w:sz w:val="24"/>
                <w:szCs w:val="24"/>
              </w:rPr>
              <w:t>投标人自2018年1月1日以来承担过合同金额8</w:t>
            </w:r>
            <w:r>
              <w:rPr>
                <w:rFonts w:hAnsi="宋体" w:cs="宋体"/>
                <w:bCs/>
                <w:kern w:val="0"/>
                <w:sz w:val="24"/>
                <w:szCs w:val="24"/>
              </w:rPr>
              <w:t>0万元以上</w:t>
            </w:r>
            <w:r>
              <w:rPr>
                <w:rFonts w:hint="eastAsia" w:hAnsi="宋体" w:cs="宋体"/>
                <w:bCs/>
                <w:kern w:val="0"/>
                <w:sz w:val="24"/>
                <w:szCs w:val="24"/>
              </w:rPr>
              <w:t>规模智能化工程实施案例（已验收合格），每项案例得</w:t>
            </w:r>
            <w:r>
              <w:rPr>
                <w:rFonts w:hAnsi="宋体" w:cs="宋体"/>
                <w:bCs/>
                <w:kern w:val="0"/>
                <w:sz w:val="24"/>
                <w:szCs w:val="24"/>
              </w:rPr>
              <w:t>3</w:t>
            </w:r>
            <w:r>
              <w:rPr>
                <w:rFonts w:hint="eastAsia" w:hAnsi="宋体" w:cs="宋体"/>
                <w:bCs/>
                <w:kern w:val="0"/>
                <w:sz w:val="24"/>
                <w:szCs w:val="24"/>
              </w:rPr>
              <w:t>分，本项最多得</w:t>
            </w:r>
            <w:r>
              <w:rPr>
                <w:rFonts w:hAnsi="宋体" w:cs="宋体"/>
                <w:bCs/>
                <w:kern w:val="0"/>
                <w:sz w:val="24"/>
                <w:szCs w:val="24"/>
              </w:rPr>
              <w:t>6</w:t>
            </w:r>
            <w:r>
              <w:rPr>
                <w:rFonts w:hint="eastAsia" w:hAnsi="宋体" w:cs="宋体"/>
                <w:bCs/>
                <w:kern w:val="0"/>
                <w:sz w:val="24"/>
                <w:szCs w:val="24"/>
              </w:rPr>
              <w:t>分</w:t>
            </w:r>
          </w:p>
          <w:p>
            <w:pPr>
              <w:rPr>
                <w:rFonts w:hAnsi="宋体" w:cs="宋体"/>
                <w:bCs/>
                <w:kern w:val="0"/>
                <w:sz w:val="24"/>
                <w:szCs w:val="24"/>
              </w:rPr>
            </w:pPr>
            <w:r>
              <w:rPr>
                <w:rFonts w:hint="eastAsia" w:hAnsi="宋体" w:cs="宋体"/>
                <w:bCs/>
                <w:kern w:val="0"/>
                <w:sz w:val="24"/>
                <w:szCs w:val="24"/>
              </w:rPr>
              <w:t>（本项需提供2</w:t>
            </w:r>
            <w:r>
              <w:rPr>
                <w:rFonts w:hAnsi="宋体" w:cs="宋体"/>
                <w:bCs/>
                <w:kern w:val="0"/>
                <w:sz w:val="24"/>
                <w:szCs w:val="24"/>
              </w:rPr>
              <w:t>018年</w:t>
            </w:r>
            <w:r>
              <w:rPr>
                <w:rFonts w:hint="eastAsia" w:hAnsi="宋体" w:cs="宋体"/>
                <w:bCs/>
                <w:kern w:val="0"/>
                <w:sz w:val="24"/>
                <w:szCs w:val="24"/>
              </w:rPr>
              <w:t>1月1日后签订的合同复印件、竣工验收报告并加盖公章，否则视为无效业绩，不得分）。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623" w:hRule="atLeast"/>
          <w:jc w:val="center"/>
        </w:trPr>
        <w:tc>
          <w:tcPr>
            <w:tcW w:w="721"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kern w:val="0"/>
                <w:sz w:val="24"/>
                <w:szCs w:val="24"/>
              </w:rPr>
            </w:pPr>
          </w:p>
        </w:tc>
        <w:tc>
          <w:tcPr>
            <w:tcW w:w="1701" w:type="dxa"/>
            <w:tcBorders>
              <w:top w:val="outset" w:color="auto" w:sz="6" w:space="0"/>
              <w:left w:val="outset" w:color="auto" w:sz="6" w:space="0"/>
              <w:right w:val="outset" w:color="auto" w:sz="6" w:space="0"/>
            </w:tcBorders>
            <w:vAlign w:val="center"/>
          </w:tcPr>
          <w:p>
            <w:pPr>
              <w:widowControl/>
              <w:jc w:val="center"/>
              <w:rPr>
                <w:rFonts w:hAnsi="宋体" w:cs="宋体"/>
                <w:kern w:val="0"/>
                <w:sz w:val="24"/>
                <w:szCs w:val="24"/>
              </w:rPr>
            </w:pPr>
            <w:r>
              <w:rPr>
                <w:rFonts w:hint="eastAsia" w:hAnsi="宋体" w:cs="宋体"/>
                <w:kern w:val="0"/>
                <w:sz w:val="24"/>
                <w:szCs w:val="24"/>
              </w:rPr>
              <w:t>资质认证</w:t>
            </w:r>
          </w:p>
          <w:p>
            <w:pPr>
              <w:widowControl/>
              <w:jc w:val="center"/>
              <w:rPr>
                <w:rFonts w:hAnsi="宋体" w:cs="宋体"/>
                <w:kern w:val="0"/>
                <w:sz w:val="24"/>
                <w:szCs w:val="24"/>
              </w:rPr>
            </w:pPr>
            <w:r>
              <w:rPr>
                <w:rFonts w:hint="eastAsia" w:cs="宋体"/>
                <w:kern w:val="0"/>
                <w:sz w:val="24"/>
                <w:szCs w:val="24"/>
              </w:rPr>
              <w:t>（</w:t>
            </w:r>
            <w:r>
              <w:rPr>
                <w:rFonts w:cs="宋体"/>
                <w:kern w:val="0"/>
                <w:sz w:val="24"/>
                <w:szCs w:val="24"/>
              </w:rPr>
              <w:t>9分</w:t>
            </w:r>
            <w:r>
              <w:rPr>
                <w:rFonts w:hint="eastAsia" w:cs="宋体"/>
                <w:kern w:val="0"/>
                <w:sz w:val="24"/>
                <w:szCs w:val="24"/>
              </w:rPr>
              <w:t>）</w:t>
            </w:r>
          </w:p>
        </w:tc>
        <w:tc>
          <w:tcPr>
            <w:tcW w:w="5318" w:type="dxa"/>
            <w:gridSpan w:val="2"/>
            <w:tcBorders>
              <w:top w:val="outset" w:color="auto" w:sz="6" w:space="0"/>
              <w:left w:val="outset" w:color="auto" w:sz="6" w:space="0"/>
              <w:bottom w:val="outset" w:color="auto" w:sz="6" w:space="0"/>
              <w:right w:val="outset" w:color="auto" w:sz="6" w:space="0"/>
            </w:tcBorders>
            <w:vAlign w:val="center"/>
          </w:tcPr>
          <w:p>
            <w:pPr>
              <w:rPr>
                <w:rFonts w:hAnsi="宋体" w:cs="宋体"/>
                <w:kern w:val="0"/>
                <w:sz w:val="24"/>
                <w:szCs w:val="24"/>
              </w:rPr>
            </w:pPr>
            <w:r>
              <w:rPr>
                <w:rFonts w:hint="eastAsia" w:hAnsi="宋体" w:cs="宋体"/>
                <w:kern w:val="0"/>
                <w:sz w:val="24"/>
                <w:szCs w:val="24"/>
              </w:rPr>
              <w:t>1</w:t>
            </w:r>
            <w:r>
              <w:rPr>
                <w:rFonts w:hAnsi="宋体" w:cs="宋体"/>
                <w:kern w:val="0"/>
                <w:sz w:val="24"/>
                <w:szCs w:val="24"/>
              </w:rPr>
              <w:t>.</w:t>
            </w:r>
            <w:r>
              <w:rPr>
                <w:rFonts w:hint="eastAsia" w:hAnsi="宋体" w:cs="宋体"/>
                <w:kern w:val="0"/>
                <w:sz w:val="24"/>
                <w:szCs w:val="24"/>
              </w:rPr>
              <w:t>投标人具备 CMMI三级及以上资质得3分，没有不得分。</w:t>
            </w:r>
          </w:p>
          <w:p>
            <w:pPr>
              <w:rPr>
                <w:rFonts w:hAnsi="宋体" w:cs="宋体"/>
                <w:kern w:val="0"/>
                <w:sz w:val="24"/>
                <w:szCs w:val="24"/>
              </w:rPr>
            </w:pPr>
            <w:r>
              <w:rPr>
                <w:rFonts w:hAnsi="宋体" w:cs="宋体"/>
                <w:kern w:val="0"/>
                <w:sz w:val="24"/>
                <w:szCs w:val="24"/>
              </w:rPr>
              <w:t>2.</w:t>
            </w:r>
            <w:r>
              <w:rPr>
                <w:rFonts w:hint="eastAsia" w:hAnsi="宋体" w:cs="宋体"/>
                <w:kern w:val="0"/>
                <w:sz w:val="24"/>
                <w:szCs w:val="24"/>
              </w:rPr>
              <w:t>投标人通过ISO20000信息技术服务管理体系认证和ISO27001信息安全管理体系认证，具备一项得</w:t>
            </w:r>
            <w:r>
              <w:rPr>
                <w:rFonts w:hAnsi="宋体" w:cs="宋体"/>
                <w:kern w:val="0"/>
                <w:sz w:val="24"/>
                <w:szCs w:val="24"/>
              </w:rPr>
              <w:t>1</w:t>
            </w:r>
            <w:r>
              <w:rPr>
                <w:rFonts w:hint="eastAsia" w:hAnsi="宋体" w:cs="宋体"/>
                <w:kern w:val="0"/>
                <w:sz w:val="24"/>
                <w:szCs w:val="24"/>
              </w:rPr>
              <w:t>分，同时具备得</w:t>
            </w:r>
            <w:r>
              <w:rPr>
                <w:rFonts w:hAnsi="宋体" w:cs="宋体"/>
                <w:kern w:val="0"/>
                <w:sz w:val="24"/>
                <w:szCs w:val="24"/>
              </w:rPr>
              <w:t>2</w:t>
            </w:r>
            <w:r>
              <w:rPr>
                <w:rFonts w:hint="eastAsia" w:hAnsi="宋体" w:cs="宋体"/>
                <w:kern w:val="0"/>
                <w:sz w:val="24"/>
                <w:szCs w:val="24"/>
              </w:rPr>
              <w:t>分，没有不得分。</w:t>
            </w:r>
          </w:p>
          <w:p>
            <w:pPr>
              <w:rPr>
                <w:rFonts w:hAnsi="宋体" w:cs="宋体"/>
                <w:kern w:val="0"/>
                <w:sz w:val="24"/>
                <w:szCs w:val="24"/>
              </w:rPr>
            </w:pPr>
            <w:r>
              <w:rPr>
                <w:rFonts w:cs="宋体"/>
                <w:kern w:val="0"/>
                <w:sz w:val="24"/>
                <w:szCs w:val="24"/>
              </w:rPr>
              <w:t>3.</w:t>
            </w:r>
            <w:r>
              <w:rPr>
                <w:rFonts w:hint="eastAsia" w:cs="宋体"/>
                <w:kern w:val="0"/>
                <w:sz w:val="24"/>
                <w:szCs w:val="24"/>
              </w:rPr>
              <w:t>自2018年1月1日以来获得省级及以上奖项或证</w:t>
            </w:r>
            <w:r>
              <w:rPr>
                <w:rFonts w:hint="eastAsia" w:hAnsi="宋体" w:cs="宋体"/>
                <w:kern w:val="0"/>
                <w:sz w:val="24"/>
                <w:szCs w:val="24"/>
              </w:rPr>
              <w:t>书，每提供一项得2分，最高得4分。</w:t>
            </w:r>
          </w:p>
          <w:p>
            <w:pPr>
              <w:rPr>
                <w:rFonts w:hAnsi="宋体" w:cs="宋体"/>
                <w:kern w:val="0"/>
                <w:sz w:val="24"/>
                <w:szCs w:val="24"/>
              </w:rPr>
            </w:pPr>
            <w:r>
              <w:rPr>
                <w:rFonts w:hint="eastAsia" w:hAnsi="宋体" w:cs="宋体"/>
                <w:kern w:val="0"/>
                <w:sz w:val="24"/>
                <w:szCs w:val="24"/>
              </w:rPr>
              <w:t>（以上内容需提供相关证书复印件并加盖公章，否则不得分）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2395" w:hRule="atLeast"/>
          <w:jc w:val="center"/>
        </w:trPr>
        <w:tc>
          <w:tcPr>
            <w:tcW w:w="721" w:type="dxa"/>
            <w:vMerge w:val="continue"/>
            <w:tcBorders>
              <w:left w:val="outset" w:color="auto" w:sz="6" w:space="0"/>
              <w:right w:val="outset" w:color="auto" w:sz="6" w:space="0"/>
            </w:tcBorders>
            <w:vAlign w:val="center"/>
          </w:tcPr>
          <w:p>
            <w:pPr>
              <w:jc w:val="center"/>
              <w:rPr>
                <w:rFonts w:hAnsi="宋体" w:cs="宋体"/>
                <w:color w:val="000000"/>
                <w:kern w:val="0"/>
                <w:sz w:val="24"/>
                <w:szCs w:val="24"/>
              </w:rPr>
            </w:pPr>
          </w:p>
        </w:tc>
        <w:tc>
          <w:tcPr>
            <w:tcW w:w="1114" w:type="dxa"/>
            <w:vMerge w:val="continue"/>
            <w:tcBorders>
              <w:left w:val="outset" w:color="auto" w:sz="6" w:space="0"/>
              <w:right w:val="outset" w:color="auto" w:sz="6" w:space="0"/>
            </w:tcBorders>
            <w:vAlign w:val="center"/>
          </w:tcPr>
          <w:p>
            <w:pPr>
              <w:jc w:val="center"/>
              <w:rPr>
                <w:rFonts w:hAnsi="宋体" w:cs="宋体"/>
                <w:kern w:val="0"/>
                <w:sz w:val="24"/>
                <w:szCs w:val="24"/>
              </w:rPr>
            </w:pPr>
          </w:p>
        </w:tc>
        <w:tc>
          <w:tcPr>
            <w:tcW w:w="1701" w:type="dxa"/>
            <w:tcBorders>
              <w:top w:val="outset" w:color="auto" w:sz="6" w:space="0"/>
              <w:left w:val="outset" w:color="auto" w:sz="6" w:space="0"/>
              <w:right w:val="outset" w:color="auto" w:sz="6" w:space="0"/>
            </w:tcBorders>
            <w:vAlign w:val="center"/>
          </w:tcPr>
          <w:p>
            <w:pPr>
              <w:widowControl/>
              <w:jc w:val="center"/>
              <w:rPr>
                <w:rFonts w:hAnsi="宋体" w:cs="宋体"/>
                <w:kern w:val="0"/>
                <w:sz w:val="24"/>
                <w:szCs w:val="24"/>
              </w:rPr>
            </w:pPr>
            <w:r>
              <w:rPr>
                <w:rFonts w:hint="eastAsia" w:hAnsi="宋体" w:cs="宋体"/>
                <w:kern w:val="0"/>
                <w:sz w:val="24"/>
                <w:szCs w:val="24"/>
              </w:rPr>
              <w:t>行业认可</w:t>
            </w:r>
          </w:p>
          <w:p>
            <w:pPr>
              <w:widowControl/>
              <w:jc w:val="center"/>
              <w:rPr>
                <w:rFonts w:hint="eastAsia" w:hAnsi="宋体" w:cs="宋体"/>
                <w:kern w:val="0"/>
                <w:sz w:val="24"/>
                <w:szCs w:val="24"/>
              </w:rPr>
            </w:pPr>
            <w:r>
              <w:rPr>
                <w:rFonts w:hint="eastAsia" w:hAnsi="宋体" w:cs="宋体"/>
                <w:kern w:val="0"/>
                <w:sz w:val="24"/>
                <w:szCs w:val="24"/>
              </w:rPr>
              <w:t>（</w:t>
            </w:r>
            <w:r>
              <w:rPr>
                <w:rFonts w:hAnsi="宋体" w:cs="宋体"/>
                <w:kern w:val="0"/>
                <w:sz w:val="24"/>
                <w:szCs w:val="24"/>
              </w:rPr>
              <w:t>9</w:t>
            </w:r>
            <w:r>
              <w:rPr>
                <w:rFonts w:hint="eastAsia" w:hAnsi="宋体" w:cs="宋体"/>
                <w:kern w:val="0"/>
                <w:sz w:val="24"/>
                <w:szCs w:val="24"/>
              </w:rPr>
              <w:t>分）</w:t>
            </w:r>
          </w:p>
        </w:tc>
        <w:tc>
          <w:tcPr>
            <w:tcW w:w="5318" w:type="dxa"/>
            <w:gridSpan w:val="2"/>
            <w:tcBorders>
              <w:top w:val="outset" w:color="auto" w:sz="6" w:space="0"/>
              <w:left w:val="outset" w:color="auto" w:sz="6" w:space="0"/>
              <w:bottom w:val="outset" w:color="auto" w:sz="6" w:space="0"/>
              <w:right w:val="outset" w:color="auto" w:sz="6" w:space="0"/>
            </w:tcBorders>
            <w:vAlign w:val="center"/>
          </w:tcPr>
          <w:p>
            <w:pPr>
              <w:rPr>
                <w:rFonts w:hAnsi="宋体" w:cs="宋体"/>
                <w:kern w:val="0"/>
                <w:sz w:val="24"/>
                <w:szCs w:val="24"/>
              </w:rPr>
            </w:pPr>
          </w:p>
          <w:p>
            <w:pPr>
              <w:rPr>
                <w:rFonts w:hAnsi="宋体" w:cs="宋体"/>
                <w:kern w:val="0"/>
                <w:sz w:val="24"/>
                <w:szCs w:val="24"/>
              </w:rPr>
            </w:pPr>
            <w:r>
              <w:rPr>
                <w:rFonts w:hint="eastAsia" w:hAnsi="宋体" w:cs="宋体"/>
                <w:kern w:val="0"/>
                <w:sz w:val="24"/>
                <w:szCs w:val="24"/>
              </w:rPr>
              <w:t>1</w:t>
            </w:r>
            <w:r>
              <w:rPr>
                <w:rFonts w:hAnsi="宋体" w:cs="宋体"/>
                <w:kern w:val="0"/>
                <w:sz w:val="24"/>
                <w:szCs w:val="24"/>
              </w:rPr>
              <w:t>.</w:t>
            </w:r>
            <w:r>
              <w:rPr>
                <w:rFonts w:hint="eastAsia" w:hAnsi="宋体" w:cs="宋体"/>
                <w:kern w:val="0"/>
                <w:sz w:val="24"/>
                <w:szCs w:val="24"/>
              </w:rPr>
              <w:t>投标人供应的智能电表产品厂家在最近一次国家电网供应商绩效评价中得分在95分及以上的得5分，在90分及以上的得2分，其余不得分。</w:t>
            </w:r>
          </w:p>
          <w:p>
            <w:pPr>
              <w:rPr>
                <w:rFonts w:hAnsi="宋体" w:cs="宋体"/>
                <w:kern w:val="0"/>
                <w:sz w:val="24"/>
                <w:szCs w:val="24"/>
              </w:rPr>
            </w:pPr>
            <w:r>
              <w:rPr>
                <w:rFonts w:hint="eastAsia" w:hAnsi="宋体" w:cs="宋体"/>
                <w:kern w:val="0"/>
                <w:sz w:val="24"/>
                <w:szCs w:val="24"/>
              </w:rPr>
              <w:t>2.投标人所供应智能电表符合国家电网和南方电网技术要求，已取得国家电网计量中心和南方电网电力科学院测试报告，具备一项得2分，同时具备得4分，没有不得分</w:t>
            </w:r>
          </w:p>
          <w:p>
            <w:pPr>
              <w:rPr>
                <w:rFonts w:hint="eastAsia"/>
              </w:rPr>
            </w:pPr>
            <w:r>
              <w:rPr>
                <w:rFonts w:hint="eastAsia" w:hAnsi="宋体" w:cs="宋体"/>
                <w:kern w:val="0"/>
                <w:sz w:val="24"/>
                <w:szCs w:val="24"/>
              </w:rPr>
              <w:t>（以上内容需提供相关文件复印件并加盖公章，否则不得分）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72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Ansi="宋体" w:cs="宋体"/>
                <w:color w:val="000000"/>
                <w:kern w:val="0"/>
                <w:sz w:val="24"/>
                <w:szCs w:val="24"/>
              </w:rPr>
              <w:t>2.2.2</w:t>
            </w:r>
            <w:r>
              <w:rPr>
                <w:rFonts w:hint="eastAsia" w:hAnsi="宋体" w:cs="宋体"/>
                <w:color w:val="000000"/>
                <w:kern w:val="0"/>
                <w:sz w:val="24"/>
                <w:szCs w:val="24"/>
              </w:rPr>
              <w:t>（</w:t>
            </w:r>
            <w:r>
              <w:rPr>
                <w:rFonts w:hAnsi="宋体" w:cs="宋体"/>
                <w:color w:val="000000"/>
                <w:kern w:val="0"/>
                <w:sz w:val="24"/>
                <w:szCs w:val="24"/>
              </w:rPr>
              <w:t>3</w:t>
            </w:r>
            <w:r>
              <w:rPr>
                <w:rFonts w:hint="eastAsia" w:hAnsi="宋体" w:cs="宋体"/>
                <w:color w:val="000000"/>
                <w:kern w:val="0"/>
                <w:sz w:val="24"/>
                <w:szCs w:val="24"/>
              </w:rPr>
              <w:t>）</w:t>
            </w:r>
          </w:p>
        </w:tc>
        <w:tc>
          <w:tcPr>
            <w:tcW w:w="1114"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经济评审评分标准</w:t>
            </w:r>
          </w:p>
          <w:p>
            <w:pPr>
              <w:jc w:val="center"/>
              <w:rPr>
                <w:rFonts w:hAnsi="宋体" w:cs="宋体"/>
                <w:color w:val="000000"/>
                <w:kern w:val="0"/>
                <w:sz w:val="24"/>
                <w:szCs w:val="24"/>
              </w:rPr>
            </w:pPr>
            <w:r>
              <w:rPr>
                <w:rFonts w:hint="eastAsia" w:hAnsi="宋体" w:cs="宋体"/>
                <w:color w:val="000000"/>
                <w:kern w:val="0"/>
                <w:sz w:val="24"/>
                <w:szCs w:val="24"/>
              </w:rPr>
              <w:t>（46分）</w:t>
            </w:r>
          </w:p>
        </w:tc>
        <w:tc>
          <w:tcPr>
            <w:tcW w:w="1701" w:type="dxa"/>
            <w:tcBorders>
              <w:top w:val="outset" w:color="auto" w:sz="6" w:space="0"/>
              <w:left w:val="outset" w:color="auto" w:sz="6" w:space="0"/>
              <w:bottom w:val="outset" w:color="auto" w:sz="6" w:space="0"/>
              <w:right w:val="outset" w:color="auto" w:sz="6" w:space="0"/>
            </w:tcBorders>
            <w:vAlign w:val="center"/>
          </w:tcPr>
          <w:p>
            <w:pPr>
              <w:jc w:val="center"/>
              <w:rPr>
                <w:rFonts w:hAnsi="宋体" w:cs="宋体"/>
                <w:color w:val="000000"/>
                <w:kern w:val="0"/>
                <w:sz w:val="24"/>
                <w:szCs w:val="24"/>
              </w:rPr>
            </w:pPr>
            <w:r>
              <w:rPr>
                <w:rFonts w:hint="eastAsia" w:hAnsi="宋体" w:cs="宋体"/>
                <w:color w:val="000000"/>
                <w:kern w:val="0"/>
                <w:sz w:val="24"/>
                <w:szCs w:val="24"/>
              </w:rPr>
              <w:t>投标报价得分</w:t>
            </w:r>
          </w:p>
          <w:p>
            <w:pPr>
              <w:jc w:val="center"/>
              <w:rPr>
                <w:rFonts w:hAnsi="宋体" w:cs="宋体"/>
                <w:color w:val="000000"/>
                <w:kern w:val="0"/>
                <w:sz w:val="24"/>
                <w:szCs w:val="24"/>
              </w:rPr>
            </w:pPr>
            <w:r>
              <w:rPr>
                <w:rFonts w:hint="eastAsia" w:hAnsi="宋体" w:cs="宋体"/>
                <w:color w:val="000000"/>
                <w:kern w:val="0"/>
                <w:sz w:val="24"/>
                <w:szCs w:val="24"/>
              </w:rPr>
              <w:t>（46分）</w:t>
            </w:r>
          </w:p>
        </w:tc>
        <w:tc>
          <w:tcPr>
            <w:tcW w:w="5318" w:type="dxa"/>
            <w:gridSpan w:val="2"/>
            <w:tcBorders>
              <w:top w:val="outset" w:color="auto" w:sz="6" w:space="0"/>
              <w:left w:val="outset" w:color="auto" w:sz="6" w:space="0"/>
              <w:bottom w:val="outset" w:color="auto" w:sz="6" w:space="0"/>
              <w:right w:val="outset" w:color="auto" w:sz="6" w:space="0"/>
            </w:tcBorders>
            <w:vAlign w:val="center"/>
          </w:tcPr>
          <w:p>
            <w:pPr>
              <w:rPr>
                <w:rFonts w:hAnsi="宋体" w:cs="宋体"/>
                <w:color w:val="000000"/>
                <w:kern w:val="0"/>
                <w:sz w:val="24"/>
                <w:szCs w:val="24"/>
              </w:rPr>
            </w:pPr>
            <w:r>
              <w:rPr>
                <w:rFonts w:hAnsi="宋体" w:cs="宋体"/>
                <w:bCs/>
                <w:color w:val="000000"/>
                <w:kern w:val="0"/>
                <w:sz w:val="24"/>
                <w:szCs w:val="24"/>
              </w:rPr>
              <w:t>1.</w:t>
            </w:r>
            <w:r>
              <w:rPr>
                <w:rFonts w:hint="eastAsia" w:hAnsi="宋体" w:cs="宋体"/>
                <w:bCs/>
                <w:color w:val="000000"/>
                <w:kern w:val="0"/>
                <w:sz w:val="24"/>
                <w:szCs w:val="24"/>
              </w:rPr>
              <w:t>评标基准价的确定：当有效投标报价</w:t>
            </w:r>
            <w:r>
              <w:rPr>
                <w:rFonts w:hint="eastAsia" w:hAnsi="宋体" w:cs="宋体"/>
                <w:b/>
                <w:bCs/>
                <w:color w:val="000000"/>
                <w:kern w:val="0"/>
                <w:sz w:val="24"/>
                <w:szCs w:val="24"/>
              </w:rPr>
              <w:t>（除税价）</w:t>
            </w:r>
            <w:r>
              <w:rPr>
                <w:rFonts w:hint="eastAsia" w:hAnsi="宋体" w:cs="宋体"/>
                <w:bCs/>
                <w:color w:val="000000"/>
                <w:kern w:val="0"/>
                <w:sz w:val="24"/>
                <w:szCs w:val="24"/>
              </w:rPr>
              <w:t>大于五家时，以去掉一个最高投标报价和一个最低投标报价后的算术平均值为评标基准价。当有效投标报价等于或小于五家时</w:t>
            </w:r>
            <w:r>
              <w:rPr>
                <w:rFonts w:hint="eastAsia" w:hAnsi="宋体" w:cs="宋体"/>
                <w:bCs/>
                <w:kern w:val="0"/>
                <w:sz w:val="24"/>
                <w:szCs w:val="24"/>
              </w:rPr>
              <w:t>，以所有投标报价的算术平均值为评标基准价。</w:t>
            </w:r>
            <w:r>
              <w:rPr>
                <w:rFonts w:hAnsi="宋体" w:cs="宋体"/>
                <w:bCs/>
                <w:kern w:val="0"/>
                <w:sz w:val="24"/>
                <w:szCs w:val="24"/>
              </w:rPr>
              <w:br w:type="textWrapping"/>
            </w:r>
            <w:r>
              <w:rPr>
                <w:rFonts w:hAnsi="宋体" w:cs="宋体"/>
                <w:bCs/>
                <w:kern w:val="0"/>
                <w:sz w:val="24"/>
                <w:szCs w:val="24"/>
              </w:rPr>
              <w:t>2.</w:t>
            </w:r>
            <w:r>
              <w:rPr>
                <w:rFonts w:hint="eastAsia" w:hAnsi="宋体" w:cs="宋体"/>
                <w:bCs/>
                <w:kern w:val="0"/>
                <w:sz w:val="24"/>
                <w:szCs w:val="24"/>
              </w:rPr>
              <w:t>投标报价得分：有效投标报价（除税价）等于评标基准价时，得该项分值的满分，每高于</w:t>
            </w:r>
            <w:r>
              <w:rPr>
                <w:rFonts w:hAnsi="宋体" w:cs="宋体"/>
                <w:bCs/>
                <w:kern w:val="0"/>
                <w:sz w:val="24"/>
                <w:szCs w:val="24"/>
              </w:rPr>
              <w:t>1%</w:t>
            </w:r>
            <w:r>
              <w:rPr>
                <w:rFonts w:hint="eastAsia" w:hAnsi="宋体" w:cs="宋体"/>
                <w:bCs/>
                <w:kern w:val="0"/>
                <w:sz w:val="24"/>
                <w:szCs w:val="24"/>
              </w:rPr>
              <w:t>扣</w:t>
            </w:r>
            <w:r>
              <w:rPr>
                <w:rFonts w:hAnsi="宋体" w:cs="宋体"/>
                <w:bCs/>
                <w:kern w:val="0"/>
                <w:sz w:val="24"/>
                <w:szCs w:val="24"/>
              </w:rPr>
              <w:t>0.8</w:t>
            </w:r>
            <w:r>
              <w:rPr>
                <w:rFonts w:hint="eastAsia" w:hAnsi="宋体" w:cs="宋体"/>
                <w:bCs/>
                <w:kern w:val="0"/>
                <w:sz w:val="24"/>
                <w:szCs w:val="24"/>
              </w:rPr>
              <w:t>分，每低于</w:t>
            </w:r>
            <w:r>
              <w:rPr>
                <w:rFonts w:hAnsi="宋体" w:cs="宋体"/>
                <w:bCs/>
                <w:kern w:val="0"/>
                <w:sz w:val="24"/>
                <w:szCs w:val="24"/>
              </w:rPr>
              <w:t>1%</w:t>
            </w:r>
            <w:r>
              <w:rPr>
                <w:rFonts w:hint="eastAsia" w:hAnsi="宋体" w:cs="宋体"/>
                <w:bCs/>
                <w:kern w:val="0"/>
                <w:sz w:val="24"/>
                <w:szCs w:val="24"/>
              </w:rPr>
              <w:t>扣</w:t>
            </w:r>
            <w:r>
              <w:rPr>
                <w:rFonts w:hAnsi="宋体" w:cs="宋体"/>
                <w:bCs/>
                <w:kern w:val="0"/>
                <w:sz w:val="24"/>
                <w:szCs w:val="24"/>
              </w:rPr>
              <w:t>0.5</w:t>
            </w:r>
            <w:r>
              <w:rPr>
                <w:rFonts w:hint="eastAsia" w:hAnsi="宋体" w:cs="宋体"/>
                <w:bCs/>
                <w:kern w:val="0"/>
                <w:sz w:val="24"/>
                <w:szCs w:val="24"/>
              </w:rPr>
              <w:t>分，投标报价的偏离率</w:t>
            </w:r>
            <w:r>
              <w:rPr>
                <w:rFonts w:hAnsi="宋体" w:cs="宋体"/>
                <w:bCs/>
                <w:kern w:val="0"/>
                <w:sz w:val="24"/>
                <w:szCs w:val="24"/>
              </w:rPr>
              <w:t>=</w:t>
            </w:r>
            <w:r>
              <w:rPr>
                <w:rFonts w:hint="eastAsia" w:hAnsi="宋体" w:cs="宋体"/>
                <w:bCs/>
                <w:kern w:val="0"/>
                <w:sz w:val="24"/>
                <w:szCs w:val="24"/>
              </w:rPr>
              <w:t>（评标基准价－投标报价）÷评标基准价×</w:t>
            </w:r>
            <w:r>
              <w:rPr>
                <w:rFonts w:hAnsi="宋体" w:cs="宋体"/>
                <w:bCs/>
                <w:kern w:val="0"/>
                <w:sz w:val="24"/>
                <w:szCs w:val="24"/>
              </w:rPr>
              <w:t>100</w:t>
            </w:r>
            <w:r>
              <w:rPr>
                <w:rFonts w:hint="eastAsia" w:hAnsi="宋体" w:cs="宋体"/>
                <w:bCs/>
                <w:kern w:val="0"/>
                <w:sz w:val="24"/>
                <w:szCs w:val="24"/>
              </w:rPr>
              <w:t>，计算结果保留小数点后两位，小数点后第三位“四舍五入”，扣完为止。</w:t>
            </w:r>
            <w:r>
              <w:rPr>
                <w:rFonts w:hAnsi="宋体" w:cs="宋体"/>
                <w:bCs/>
                <w:kern w:val="0"/>
                <w:sz w:val="24"/>
                <w:szCs w:val="24"/>
              </w:rPr>
              <w:br w:type="textWrapping"/>
            </w:r>
            <w:r>
              <w:rPr>
                <w:rFonts w:hint="eastAsia" w:hAnsi="宋体" w:cs="宋体"/>
                <w:bCs/>
                <w:kern w:val="0"/>
                <w:sz w:val="24"/>
                <w:szCs w:val="24"/>
              </w:rPr>
              <w:t>即：（</w:t>
            </w:r>
            <w:r>
              <w:rPr>
                <w:rFonts w:hAnsi="宋体" w:cs="宋体"/>
                <w:bCs/>
                <w:kern w:val="0"/>
                <w:sz w:val="24"/>
                <w:szCs w:val="24"/>
              </w:rPr>
              <w:t>1</w:t>
            </w:r>
            <w:r>
              <w:rPr>
                <w:rFonts w:hint="eastAsia" w:hAnsi="宋体" w:cs="宋体"/>
                <w:bCs/>
                <w:kern w:val="0"/>
                <w:sz w:val="24"/>
                <w:szCs w:val="24"/>
              </w:rPr>
              <w:t>）投标报价（除税价）高于或等于评标基准价时，投标报价得分</w:t>
            </w:r>
            <w:r>
              <w:rPr>
                <w:rFonts w:hAnsi="宋体" w:cs="宋体"/>
                <w:bCs/>
                <w:kern w:val="0"/>
                <w:sz w:val="24"/>
                <w:szCs w:val="24"/>
              </w:rPr>
              <w:t>=</w:t>
            </w:r>
            <w:r>
              <w:rPr>
                <w:rFonts w:hint="eastAsia" w:hAnsi="宋体" w:cs="宋体"/>
                <w:bCs/>
                <w:kern w:val="0"/>
                <w:sz w:val="24"/>
                <w:szCs w:val="24"/>
              </w:rPr>
              <w:t>投标报价评审总分－（投标报价－评标基准价）</w:t>
            </w:r>
            <w:r>
              <w:rPr>
                <w:rFonts w:hAnsi="宋体" w:cs="宋体"/>
                <w:bCs/>
                <w:kern w:val="0"/>
                <w:sz w:val="24"/>
                <w:szCs w:val="24"/>
              </w:rPr>
              <w:t>/</w:t>
            </w:r>
            <w:r>
              <w:rPr>
                <w:rFonts w:hint="eastAsia" w:hAnsi="宋体" w:cs="宋体"/>
                <w:bCs/>
                <w:kern w:val="0"/>
                <w:sz w:val="24"/>
                <w:szCs w:val="24"/>
              </w:rPr>
              <w:t>评标基准价×</w:t>
            </w:r>
            <w:r>
              <w:rPr>
                <w:rFonts w:hAnsi="宋体" w:cs="宋体"/>
                <w:bCs/>
                <w:kern w:val="0"/>
                <w:sz w:val="24"/>
                <w:szCs w:val="24"/>
              </w:rPr>
              <w:t>100</w:t>
            </w:r>
            <w:r>
              <w:rPr>
                <w:rFonts w:hint="eastAsia" w:hAnsi="宋体" w:cs="宋体"/>
                <w:bCs/>
                <w:kern w:val="0"/>
                <w:sz w:val="24"/>
                <w:szCs w:val="24"/>
              </w:rPr>
              <w:t>×</w:t>
            </w:r>
            <w:r>
              <w:rPr>
                <w:rFonts w:hAnsi="宋体" w:cs="宋体"/>
                <w:bCs/>
                <w:kern w:val="0"/>
                <w:sz w:val="24"/>
                <w:szCs w:val="24"/>
              </w:rPr>
              <w:t>0.8</w:t>
            </w:r>
            <w:r>
              <w:rPr>
                <w:rFonts w:hint="eastAsia" w:hAnsi="宋体" w:cs="宋体"/>
                <w:bCs/>
                <w:kern w:val="0"/>
                <w:sz w:val="24"/>
                <w:szCs w:val="24"/>
              </w:rPr>
              <w:t>；</w:t>
            </w:r>
            <w:r>
              <w:rPr>
                <w:rFonts w:hAnsi="宋体" w:cs="宋体"/>
                <w:bCs/>
                <w:kern w:val="0"/>
                <w:sz w:val="24"/>
                <w:szCs w:val="24"/>
              </w:rPr>
              <w:br w:type="textWrapping"/>
            </w:r>
            <w:r>
              <w:rPr>
                <w:rFonts w:hint="eastAsia" w:hAnsi="宋体" w:cs="宋体"/>
                <w:bCs/>
                <w:kern w:val="0"/>
                <w:sz w:val="24"/>
                <w:szCs w:val="24"/>
              </w:rPr>
              <w:t>（</w:t>
            </w:r>
            <w:r>
              <w:rPr>
                <w:rFonts w:hAnsi="宋体" w:cs="宋体"/>
                <w:bCs/>
                <w:kern w:val="0"/>
                <w:sz w:val="24"/>
                <w:szCs w:val="24"/>
              </w:rPr>
              <w:t>2</w:t>
            </w:r>
            <w:r>
              <w:rPr>
                <w:rFonts w:hint="eastAsia" w:hAnsi="宋体" w:cs="宋体"/>
                <w:bCs/>
                <w:kern w:val="0"/>
                <w:sz w:val="24"/>
                <w:szCs w:val="24"/>
              </w:rPr>
              <w:t>）投标报价（除税价）低于评标基准价时</w:t>
            </w:r>
            <w:r>
              <w:rPr>
                <w:rFonts w:hint="eastAsia" w:hAnsi="宋体" w:cs="宋体"/>
                <w:bCs/>
                <w:color w:val="000000"/>
                <w:kern w:val="0"/>
                <w:sz w:val="24"/>
                <w:szCs w:val="24"/>
              </w:rPr>
              <w:t>，投标报价得分</w:t>
            </w:r>
            <w:r>
              <w:rPr>
                <w:rFonts w:hAnsi="宋体" w:cs="宋体"/>
                <w:bCs/>
                <w:color w:val="000000"/>
                <w:kern w:val="0"/>
                <w:sz w:val="24"/>
                <w:szCs w:val="24"/>
              </w:rPr>
              <w:t>=</w:t>
            </w:r>
            <w:r>
              <w:rPr>
                <w:rFonts w:hint="eastAsia" w:hAnsi="宋体" w:cs="宋体"/>
                <w:bCs/>
                <w:color w:val="000000"/>
                <w:kern w:val="0"/>
                <w:sz w:val="24"/>
                <w:szCs w:val="24"/>
              </w:rPr>
              <w:t>投标报价评审总分－（评标基准价－投标报价）</w:t>
            </w:r>
            <w:r>
              <w:rPr>
                <w:rFonts w:hAnsi="宋体" w:cs="宋体"/>
                <w:bCs/>
                <w:color w:val="000000"/>
                <w:kern w:val="0"/>
                <w:sz w:val="24"/>
                <w:szCs w:val="24"/>
              </w:rPr>
              <w:t>/</w:t>
            </w:r>
            <w:r>
              <w:rPr>
                <w:rFonts w:hint="eastAsia" w:hAnsi="宋体" w:cs="宋体"/>
                <w:bCs/>
                <w:color w:val="000000"/>
                <w:kern w:val="0"/>
                <w:sz w:val="24"/>
                <w:szCs w:val="24"/>
              </w:rPr>
              <w:t>评标基准价×</w:t>
            </w:r>
            <w:r>
              <w:rPr>
                <w:rFonts w:hAnsi="宋体" w:cs="宋体"/>
                <w:bCs/>
                <w:color w:val="000000"/>
                <w:kern w:val="0"/>
                <w:sz w:val="24"/>
                <w:szCs w:val="24"/>
              </w:rPr>
              <w:t>100</w:t>
            </w:r>
            <w:r>
              <w:rPr>
                <w:rFonts w:hint="eastAsia" w:hAnsi="宋体" w:cs="宋体"/>
                <w:bCs/>
                <w:color w:val="000000"/>
                <w:kern w:val="0"/>
                <w:sz w:val="24"/>
                <w:szCs w:val="24"/>
              </w:rPr>
              <w:t>×</w:t>
            </w:r>
            <w:r>
              <w:rPr>
                <w:rFonts w:hAnsi="宋体" w:cs="宋体"/>
                <w:bCs/>
                <w:color w:val="000000"/>
                <w:kern w:val="0"/>
                <w:sz w:val="24"/>
                <w:szCs w:val="24"/>
              </w:rPr>
              <w:t>0.5</w:t>
            </w:r>
            <w:r>
              <w:rPr>
                <w:rFonts w:hint="eastAsia" w:hAnsi="宋体" w:cs="宋体"/>
                <w:bCs/>
                <w:color w:val="000000"/>
                <w:kern w:val="0"/>
                <w:sz w:val="24"/>
                <w:szCs w:val="24"/>
              </w:rPr>
              <w:t>。</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
      <w:pPr>
        <w:pStyle w:val="6"/>
        <w:spacing w:line="470" w:lineRule="exact"/>
        <w:ind w:firstLine="482" w:firstLineChars="200"/>
        <w:jc w:val="both"/>
        <w:rPr>
          <w:rFonts w:ascii="仿宋_GB2312" w:hAnsi="仿宋" w:cs="仿宋"/>
          <w:color w:val="000000"/>
          <w:sz w:val="24"/>
          <w:szCs w:val="24"/>
        </w:rPr>
      </w:pPr>
      <w:bookmarkStart w:id="184" w:name="_Toc26154"/>
      <w:bookmarkStart w:id="185" w:name="_Toc523213619"/>
      <w:bookmarkStart w:id="186" w:name="_Toc23358"/>
      <w:r>
        <w:rPr>
          <w:rFonts w:hint="eastAsia" w:ascii="仿宋_GB2312" w:hAnsi="仿宋" w:cs="仿宋"/>
          <w:color w:val="000000"/>
          <w:sz w:val="24"/>
          <w:szCs w:val="24"/>
        </w:rPr>
        <w:t>1.评标方法</w:t>
      </w:r>
      <w:bookmarkEnd w:id="184"/>
      <w:bookmarkEnd w:id="185"/>
      <w:bookmarkEnd w:id="186"/>
    </w:p>
    <w:p>
      <w:pPr>
        <w:spacing w:line="470" w:lineRule="exact"/>
        <w:ind w:firstLine="482"/>
        <w:rPr>
          <w:rFonts w:hAnsi="仿宋" w:cs="仿宋"/>
          <w:color w:val="000000"/>
          <w:sz w:val="24"/>
          <w:szCs w:val="24"/>
        </w:rPr>
      </w:pPr>
      <w:r>
        <w:rPr>
          <w:rFonts w:hint="eastAsia" w:hAnsi="仿宋" w:cs="仿宋"/>
          <w:color w:val="000000"/>
          <w:sz w:val="24"/>
          <w:szCs w:val="24"/>
        </w:rPr>
        <w:t>本次评标采用综合评估法。评标委员会对满足招标文件实质性要求的投标文件，按照本章第2.2款规定的评分标准进行打分，并按总得分由高到低顺序推荐中标候选人，或根据招标人授权直接确定中标人。</w:t>
      </w:r>
    </w:p>
    <w:p>
      <w:pPr>
        <w:spacing w:line="470" w:lineRule="exact"/>
        <w:ind w:firstLine="482"/>
        <w:rPr>
          <w:rFonts w:hAnsi="仿宋" w:cs="仿宋"/>
          <w:color w:val="000000"/>
          <w:sz w:val="24"/>
          <w:szCs w:val="24"/>
        </w:rPr>
      </w:pPr>
      <w:r>
        <w:rPr>
          <w:rFonts w:hint="eastAsia" w:hAnsi="仿宋" w:cs="仿宋"/>
          <w:color w:val="000000"/>
          <w:sz w:val="24"/>
          <w:szCs w:val="24"/>
        </w:rPr>
        <w:t>若有二家或二家以上的投标人总得分相同时，按报价得分由高到低的顺序排列。投标人总得分且报价得分相同的，由招标人自行确认中标人。</w:t>
      </w:r>
    </w:p>
    <w:p>
      <w:pPr>
        <w:pStyle w:val="6"/>
        <w:spacing w:line="470" w:lineRule="exact"/>
        <w:ind w:firstLine="482" w:firstLineChars="200"/>
        <w:jc w:val="both"/>
        <w:rPr>
          <w:rFonts w:ascii="仿宋_GB2312" w:hAnsi="仿宋" w:cs="仿宋"/>
          <w:color w:val="000000"/>
          <w:sz w:val="24"/>
          <w:szCs w:val="24"/>
        </w:rPr>
      </w:pPr>
      <w:bookmarkStart w:id="187" w:name="_Toc7227"/>
      <w:bookmarkStart w:id="188" w:name="_Toc523213620"/>
      <w:bookmarkStart w:id="189" w:name="_Toc19823"/>
      <w:r>
        <w:rPr>
          <w:rFonts w:hint="eastAsia" w:ascii="仿宋_GB2312" w:hAnsi="仿宋" w:cs="仿宋"/>
          <w:color w:val="000000"/>
          <w:sz w:val="24"/>
          <w:szCs w:val="24"/>
        </w:rPr>
        <w:t>2. 评审标准</w:t>
      </w:r>
      <w:bookmarkEnd w:id="187"/>
      <w:bookmarkEnd w:id="188"/>
      <w:bookmarkEnd w:id="189"/>
    </w:p>
    <w:p>
      <w:pPr>
        <w:pStyle w:val="7"/>
        <w:spacing w:after="0" w:line="470" w:lineRule="exact"/>
        <w:ind w:firstLine="482" w:firstLineChars="200"/>
        <w:jc w:val="both"/>
        <w:rPr>
          <w:rFonts w:ascii="仿宋_GB2312" w:hAnsi="仿宋" w:cs="仿宋"/>
          <w:color w:val="000000"/>
        </w:rPr>
      </w:pPr>
      <w:bookmarkStart w:id="190" w:name="_Toc18603101"/>
      <w:bookmarkStart w:id="191" w:name="_Toc22594"/>
      <w:r>
        <w:rPr>
          <w:rFonts w:hint="eastAsia" w:ascii="仿宋_GB2312" w:hAnsi="仿宋" w:cs="仿宋"/>
          <w:color w:val="000000"/>
        </w:rPr>
        <w:t>2.1 初步评审标准</w:t>
      </w:r>
      <w:bookmarkEnd w:id="190"/>
      <w:bookmarkEnd w:id="191"/>
    </w:p>
    <w:p>
      <w:pPr>
        <w:spacing w:line="470" w:lineRule="exact"/>
        <w:ind w:firstLine="482"/>
        <w:rPr>
          <w:rFonts w:hAnsi="仿宋" w:cs="仿宋"/>
          <w:color w:val="000000"/>
          <w:sz w:val="24"/>
          <w:szCs w:val="24"/>
        </w:rPr>
      </w:pPr>
      <w:r>
        <w:rPr>
          <w:rFonts w:hint="eastAsia" w:hAnsi="仿宋" w:cs="仿宋"/>
          <w:color w:val="000000"/>
          <w:sz w:val="24"/>
          <w:szCs w:val="24"/>
        </w:rPr>
        <w:t>2.1.1 形式评审标准：见评标办法前附表。</w:t>
      </w:r>
    </w:p>
    <w:p>
      <w:pPr>
        <w:spacing w:line="470" w:lineRule="exact"/>
        <w:ind w:firstLine="482"/>
        <w:rPr>
          <w:rFonts w:hAnsi="仿宋" w:cs="仿宋"/>
          <w:color w:val="000000"/>
          <w:sz w:val="24"/>
          <w:szCs w:val="24"/>
        </w:rPr>
      </w:pPr>
      <w:r>
        <w:rPr>
          <w:rFonts w:hint="eastAsia" w:hAnsi="仿宋" w:cs="仿宋"/>
          <w:color w:val="000000"/>
          <w:sz w:val="24"/>
          <w:szCs w:val="24"/>
        </w:rPr>
        <w:t>2.1.2 资格评审标准：见评标办法前附表。</w:t>
      </w:r>
    </w:p>
    <w:p>
      <w:pPr>
        <w:spacing w:line="470" w:lineRule="exact"/>
        <w:ind w:firstLine="482"/>
        <w:rPr>
          <w:rFonts w:hAnsi="仿宋" w:cs="仿宋"/>
          <w:color w:val="000000"/>
          <w:sz w:val="24"/>
          <w:szCs w:val="24"/>
        </w:rPr>
      </w:pPr>
      <w:r>
        <w:rPr>
          <w:rFonts w:hint="eastAsia" w:hAnsi="仿宋" w:cs="仿宋"/>
          <w:color w:val="000000"/>
          <w:sz w:val="24"/>
          <w:szCs w:val="24"/>
        </w:rPr>
        <w:t>2.1.3 响应性评审标准：见评标办法前附表。</w:t>
      </w:r>
    </w:p>
    <w:p>
      <w:pPr>
        <w:pStyle w:val="7"/>
        <w:spacing w:after="0" w:line="470" w:lineRule="exact"/>
        <w:ind w:firstLine="482" w:firstLineChars="200"/>
        <w:jc w:val="both"/>
        <w:rPr>
          <w:rFonts w:ascii="仿宋_GB2312" w:hAnsi="仿宋" w:cs="仿宋"/>
          <w:color w:val="000000"/>
        </w:rPr>
      </w:pPr>
      <w:bookmarkStart w:id="192" w:name="_Toc18603102"/>
      <w:bookmarkStart w:id="193" w:name="_Toc454"/>
      <w:r>
        <w:rPr>
          <w:rFonts w:hint="eastAsia" w:ascii="仿宋_GB2312" w:hAnsi="仿宋" w:cs="仿宋"/>
          <w:color w:val="000000"/>
        </w:rPr>
        <w:t>2.2 详细评审标准</w:t>
      </w:r>
      <w:bookmarkEnd w:id="192"/>
      <w:bookmarkEnd w:id="193"/>
    </w:p>
    <w:p>
      <w:pPr>
        <w:spacing w:line="470" w:lineRule="exact"/>
        <w:ind w:firstLine="482"/>
        <w:rPr>
          <w:rFonts w:hAnsi="仿宋" w:cs="仿宋"/>
          <w:color w:val="000000"/>
          <w:sz w:val="24"/>
          <w:szCs w:val="24"/>
        </w:rPr>
      </w:pPr>
      <w:r>
        <w:rPr>
          <w:rFonts w:hint="eastAsia" w:hAnsi="仿宋" w:cs="仿宋"/>
          <w:color w:val="000000"/>
          <w:sz w:val="24"/>
          <w:szCs w:val="24"/>
        </w:rPr>
        <w:t>（1）技术标评分因素评分标准：见评标办法前附表；</w:t>
      </w:r>
    </w:p>
    <w:p>
      <w:pPr>
        <w:spacing w:line="470" w:lineRule="exact"/>
        <w:ind w:firstLine="482"/>
        <w:rPr>
          <w:rFonts w:hAnsi="仿宋" w:cs="仿宋"/>
          <w:color w:val="000000"/>
          <w:sz w:val="24"/>
          <w:szCs w:val="24"/>
        </w:rPr>
      </w:pPr>
      <w:r>
        <w:rPr>
          <w:rFonts w:hint="eastAsia" w:hAnsi="仿宋" w:cs="仿宋"/>
          <w:color w:val="000000"/>
          <w:sz w:val="24"/>
          <w:szCs w:val="24"/>
        </w:rPr>
        <w:t>（2）综合标评分因素评分标准：见评标办法前附表；</w:t>
      </w:r>
    </w:p>
    <w:p>
      <w:pPr>
        <w:spacing w:line="470" w:lineRule="exact"/>
        <w:ind w:firstLine="482"/>
        <w:rPr>
          <w:rFonts w:hAnsi="仿宋" w:cs="仿宋"/>
          <w:color w:val="000000"/>
          <w:sz w:val="24"/>
          <w:szCs w:val="24"/>
        </w:rPr>
      </w:pPr>
      <w:r>
        <w:rPr>
          <w:rFonts w:hint="eastAsia" w:hAnsi="仿宋" w:cs="仿宋"/>
          <w:color w:val="000000"/>
          <w:sz w:val="24"/>
          <w:szCs w:val="24"/>
        </w:rPr>
        <w:t>（3）经济标评分因素评分标准：见评标办法前附表。</w:t>
      </w:r>
    </w:p>
    <w:p>
      <w:pPr>
        <w:pStyle w:val="6"/>
        <w:spacing w:line="470" w:lineRule="exact"/>
        <w:ind w:firstLine="482" w:firstLineChars="200"/>
        <w:jc w:val="both"/>
        <w:rPr>
          <w:rFonts w:ascii="仿宋_GB2312" w:hAnsi="仿宋" w:cs="仿宋"/>
          <w:color w:val="000000"/>
          <w:sz w:val="24"/>
          <w:szCs w:val="24"/>
        </w:rPr>
      </w:pPr>
      <w:bookmarkStart w:id="194" w:name="_Toc523213621"/>
      <w:bookmarkStart w:id="195" w:name="_Toc23195"/>
      <w:bookmarkStart w:id="196" w:name="_Toc7344"/>
      <w:r>
        <w:rPr>
          <w:rFonts w:hint="eastAsia" w:ascii="仿宋_GB2312" w:hAnsi="仿宋" w:cs="仿宋"/>
          <w:color w:val="000000"/>
          <w:sz w:val="24"/>
          <w:szCs w:val="24"/>
        </w:rPr>
        <w:t>3. 评标程序</w:t>
      </w:r>
      <w:bookmarkEnd w:id="194"/>
      <w:bookmarkEnd w:id="195"/>
      <w:bookmarkEnd w:id="196"/>
    </w:p>
    <w:p>
      <w:pPr>
        <w:pStyle w:val="7"/>
        <w:spacing w:after="0" w:line="470" w:lineRule="exact"/>
        <w:ind w:firstLine="482" w:firstLineChars="200"/>
        <w:jc w:val="both"/>
        <w:rPr>
          <w:rFonts w:ascii="仿宋_GB2312" w:hAnsi="仿宋" w:cs="仿宋"/>
          <w:color w:val="000000"/>
        </w:rPr>
      </w:pPr>
      <w:bookmarkStart w:id="197" w:name="_Toc18603104"/>
      <w:bookmarkStart w:id="198" w:name="_Toc25923"/>
      <w:r>
        <w:rPr>
          <w:rFonts w:hint="eastAsia" w:ascii="仿宋_GB2312" w:hAnsi="仿宋" w:cs="仿宋"/>
          <w:color w:val="000000"/>
        </w:rPr>
        <w:t>3.1 评标准备</w:t>
      </w:r>
      <w:bookmarkEnd w:id="197"/>
      <w:bookmarkEnd w:id="198"/>
    </w:p>
    <w:p>
      <w:pPr>
        <w:spacing w:line="470" w:lineRule="exact"/>
        <w:ind w:firstLine="482"/>
        <w:rPr>
          <w:rFonts w:hAnsi="仿宋" w:cs="仿宋"/>
          <w:color w:val="000000"/>
          <w:sz w:val="24"/>
          <w:szCs w:val="24"/>
        </w:rPr>
      </w:pPr>
      <w:r>
        <w:rPr>
          <w:rFonts w:hint="eastAsia" w:hAnsi="仿宋" w:cs="仿宋"/>
          <w:color w:val="000000"/>
          <w:sz w:val="24"/>
          <w:szCs w:val="24"/>
        </w:rPr>
        <w:t>3.1.1 评标委员会成员签到</w:t>
      </w:r>
    </w:p>
    <w:p>
      <w:pPr>
        <w:spacing w:line="470" w:lineRule="exact"/>
        <w:ind w:firstLine="482"/>
        <w:rPr>
          <w:rFonts w:hAnsi="仿宋" w:cs="仿宋"/>
          <w:color w:val="000000"/>
          <w:sz w:val="24"/>
          <w:szCs w:val="24"/>
        </w:rPr>
      </w:pPr>
      <w:r>
        <w:rPr>
          <w:rFonts w:hint="eastAsia" w:hAnsi="仿宋" w:cs="仿宋"/>
          <w:color w:val="000000"/>
          <w:sz w:val="24"/>
          <w:szCs w:val="24"/>
        </w:rPr>
        <w:t>评标委员会成员到达评标现场时应在签到表上签到以证明其出席。</w:t>
      </w:r>
    </w:p>
    <w:p>
      <w:pPr>
        <w:spacing w:line="470" w:lineRule="exact"/>
        <w:ind w:firstLine="482"/>
        <w:rPr>
          <w:rFonts w:hAnsi="仿宋" w:cs="仿宋"/>
          <w:color w:val="000000"/>
          <w:sz w:val="24"/>
          <w:szCs w:val="24"/>
        </w:rPr>
      </w:pPr>
      <w:r>
        <w:rPr>
          <w:rFonts w:hint="eastAsia" w:hAnsi="仿宋" w:cs="仿宋"/>
          <w:color w:val="000000"/>
          <w:sz w:val="24"/>
          <w:szCs w:val="24"/>
        </w:rPr>
        <w:t>3.1.2 评标委员会的分工</w:t>
      </w:r>
    </w:p>
    <w:p>
      <w:pPr>
        <w:spacing w:line="470" w:lineRule="exact"/>
        <w:ind w:firstLine="482"/>
        <w:rPr>
          <w:rFonts w:hAnsi="仿宋" w:cs="仿宋"/>
          <w:color w:val="000000"/>
          <w:sz w:val="24"/>
          <w:szCs w:val="24"/>
        </w:rPr>
      </w:pPr>
      <w:r>
        <w:rPr>
          <w:rFonts w:hint="eastAsia" w:hAnsi="仿宋" w:cs="仿宋"/>
          <w:color w:val="000000"/>
          <w:sz w:val="24"/>
          <w:szCs w:val="24"/>
        </w:rPr>
        <w:t>由评标委员会首先推选一名评标委员会负责人，评标委员会负责人负责评标活动的组织领导工作，评标委员会负责人在与其他评标委员会成员具有同等表决权。</w:t>
      </w:r>
    </w:p>
    <w:p>
      <w:pPr>
        <w:spacing w:line="470" w:lineRule="exact"/>
        <w:ind w:firstLine="482"/>
        <w:rPr>
          <w:rFonts w:hAnsi="仿宋" w:cs="仿宋"/>
          <w:color w:val="000000"/>
          <w:sz w:val="24"/>
          <w:szCs w:val="24"/>
        </w:rPr>
      </w:pPr>
      <w:r>
        <w:rPr>
          <w:rFonts w:hint="eastAsia" w:hAnsi="仿宋" w:cs="仿宋"/>
          <w:color w:val="000000"/>
          <w:sz w:val="24"/>
          <w:szCs w:val="24"/>
        </w:rPr>
        <w:t>3.1.3 熟悉文件资料</w:t>
      </w:r>
    </w:p>
    <w:p>
      <w:pPr>
        <w:spacing w:line="470" w:lineRule="exact"/>
        <w:ind w:firstLine="482"/>
        <w:rPr>
          <w:rFonts w:hAnsi="仿宋" w:cs="仿宋"/>
          <w:color w:val="000000"/>
          <w:sz w:val="24"/>
          <w:szCs w:val="24"/>
        </w:rPr>
      </w:pPr>
      <w:r>
        <w:rPr>
          <w:rFonts w:hint="eastAsia" w:hAnsi="仿宋" w:cs="仿宋"/>
          <w:color w:val="000000"/>
          <w:sz w:val="24"/>
          <w:szCs w:val="24"/>
        </w:rPr>
        <w:t>3.1.3.1 评标委员会负责人应组织评标委员会成员认真研究招标文件，了解和熟悉招标目的、招标范围、主要合同条件、技术标准和要求、交付时间要求，掌握评标标准和方法，熟悉评标表格的使用。未在招标文件中规定的标准和方法不得作为评标的依据。</w:t>
      </w:r>
    </w:p>
    <w:p>
      <w:pPr>
        <w:spacing w:line="480" w:lineRule="exact"/>
        <w:ind w:firstLine="482"/>
        <w:rPr>
          <w:rFonts w:hAnsi="仿宋" w:cs="仿宋"/>
          <w:color w:val="000000"/>
          <w:sz w:val="24"/>
          <w:szCs w:val="24"/>
        </w:rPr>
      </w:pPr>
      <w:r>
        <w:rPr>
          <w:rFonts w:hint="eastAsia" w:hAnsi="仿宋" w:cs="仿宋"/>
          <w:color w:val="000000"/>
          <w:sz w:val="24"/>
          <w:szCs w:val="24"/>
        </w:rPr>
        <w:t>3.1.3.2 评标委员会成员在评标前应当了解招标工程概况及招标文件内容。招标人或其委托的招标代理机构应当向评标委员会提供评标所需的重要信息和相关数据资料，主要包括：</w:t>
      </w:r>
    </w:p>
    <w:p>
      <w:pPr>
        <w:spacing w:line="480" w:lineRule="exact"/>
        <w:ind w:firstLine="482"/>
        <w:rPr>
          <w:rFonts w:hAnsi="仿宋" w:cs="仿宋"/>
          <w:color w:val="000000"/>
          <w:sz w:val="24"/>
          <w:szCs w:val="24"/>
        </w:rPr>
      </w:pPr>
      <w:r>
        <w:rPr>
          <w:rFonts w:hint="eastAsia" w:hAnsi="仿宋" w:cs="仿宋"/>
          <w:color w:val="000000"/>
          <w:sz w:val="24"/>
          <w:szCs w:val="24"/>
        </w:rPr>
        <w:t>（一）招标文件；</w:t>
      </w:r>
    </w:p>
    <w:p>
      <w:pPr>
        <w:spacing w:line="480" w:lineRule="exact"/>
        <w:ind w:firstLine="482"/>
        <w:rPr>
          <w:rFonts w:hAnsi="仿宋" w:cs="仿宋"/>
          <w:color w:val="000000"/>
          <w:sz w:val="24"/>
          <w:szCs w:val="24"/>
        </w:rPr>
      </w:pPr>
      <w:r>
        <w:rPr>
          <w:rFonts w:hint="eastAsia" w:hAnsi="仿宋" w:cs="仿宋"/>
          <w:color w:val="000000"/>
          <w:sz w:val="24"/>
          <w:szCs w:val="24"/>
        </w:rPr>
        <w:t>（二）未在开标会上当场拒绝的投标文件；</w:t>
      </w:r>
    </w:p>
    <w:p>
      <w:pPr>
        <w:spacing w:line="480" w:lineRule="exact"/>
        <w:ind w:firstLine="482"/>
        <w:rPr>
          <w:rFonts w:hAnsi="仿宋" w:cs="仿宋"/>
          <w:color w:val="000000"/>
          <w:sz w:val="24"/>
          <w:szCs w:val="24"/>
        </w:rPr>
      </w:pPr>
      <w:r>
        <w:rPr>
          <w:rFonts w:hint="eastAsia" w:hAnsi="仿宋" w:cs="仿宋"/>
          <w:color w:val="000000"/>
          <w:sz w:val="24"/>
          <w:szCs w:val="24"/>
        </w:rPr>
        <w:t>（三）开标会记录；</w:t>
      </w:r>
    </w:p>
    <w:p>
      <w:pPr>
        <w:spacing w:line="480" w:lineRule="exact"/>
        <w:ind w:firstLine="482"/>
        <w:rPr>
          <w:rFonts w:hAnsi="仿宋" w:cs="仿宋"/>
          <w:color w:val="000000"/>
          <w:sz w:val="24"/>
          <w:szCs w:val="24"/>
        </w:rPr>
      </w:pPr>
      <w:r>
        <w:rPr>
          <w:rFonts w:hint="eastAsia" w:hAnsi="仿宋" w:cs="仿宋"/>
          <w:color w:val="000000"/>
          <w:sz w:val="24"/>
          <w:szCs w:val="24"/>
        </w:rPr>
        <w:t>（四）最高限价。</w:t>
      </w:r>
    </w:p>
    <w:p>
      <w:pPr>
        <w:pStyle w:val="7"/>
        <w:spacing w:after="0" w:line="480" w:lineRule="exact"/>
        <w:ind w:firstLine="482" w:firstLineChars="200"/>
        <w:jc w:val="both"/>
        <w:rPr>
          <w:rFonts w:ascii="仿宋_GB2312" w:hAnsi="仿宋" w:cs="仿宋"/>
          <w:color w:val="000000"/>
        </w:rPr>
      </w:pPr>
      <w:bookmarkStart w:id="199" w:name="_Toc18603105"/>
      <w:bookmarkStart w:id="200" w:name="_Toc24704"/>
      <w:r>
        <w:rPr>
          <w:rFonts w:hint="eastAsia" w:ascii="仿宋_GB2312" w:hAnsi="仿宋" w:cs="仿宋"/>
          <w:color w:val="000000"/>
        </w:rPr>
        <w:t>3.2 初步评审</w:t>
      </w:r>
      <w:bookmarkEnd w:id="199"/>
      <w:bookmarkEnd w:id="200"/>
    </w:p>
    <w:p>
      <w:pPr>
        <w:spacing w:line="480" w:lineRule="exact"/>
        <w:ind w:firstLine="482"/>
        <w:rPr>
          <w:rFonts w:hAnsi="仿宋" w:cs="仿宋"/>
          <w:color w:val="000000"/>
          <w:sz w:val="24"/>
          <w:szCs w:val="24"/>
        </w:rPr>
      </w:pPr>
      <w:r>
        <w:rPr>
          <w:rFonts w:hint="eastAsia" w:hAnsi="仿宋" w:cs="仿宋"/>
          <w:color w:val="000000"/>
          <w:sz w:val="24"/>
          <w:szCs w:val="24"/>
        </w:rPr>
        <w:t>3.2.1 评标委员会可以要求投标人提交第二章“投标人须知”第3.5.1项规定的有关证明和证件的原件，以便核验。评标委员会依据本章第2.1款规定的标准对投标文件进行初步评审。有一项不符合评审标准的，其投标被否决。</w:t>
      </w:r>
    </w:p>
    <w:p>
      <w:pPr>
        <w:spacing w:line="480" w:lineRule="exact"/>
        <w:ind w:firstLine="482"/>
        <w:rPr>
          <w:rFonts w:hAnsi="仿宋" w:cs="仿宋"/>
          <w:color w:val="000000"/>
          <w:sz w:val="24"/>
          <w:szCs w:val="24"/>
        </w:rPr>
      </w:pPr>
      <w:r>
        <w:rPr>
          <w:rFonts w:hint="eastAsia" w:hAnsi="仿宋" w:cs="仿宋"/>
          <w:color w:val="000000"/>
          <w:sz w:val="24"/>
          <w:szCs w:val="24"/>
        </w:rPr>
        <w:t>3.2.2 投标人有以下情形之一的，其投标被否决：</w:t>
      </w:r>
    </w:p>
    <w:p>
      <w:pPr>
        <w:spacing w:line="480" w:lineRule="exact"/>
        <w:ind w:firstLine="482"/>
        <w:rPr>
          <w:rFonts w:hAnsi="仿宋" w:cs="仿宋"/>
          <w:color w:val="000000"/>
          <w:sz w:val="24"/>
          <w:szCs w:val="24"/>
        </w:rPr>
      </w:pPr>
      <w:r>
        <w:rPr>
          <w:rFonts w:hint="eastAsia" w:hAnsi="仿宋" w:cs="仿宋"/>
          <w:color w:val="000000"/>
          <w:sz w:val="24"/>
          <w:szCs w:val="24"/>
        </w:rPr>
        <w:t>（1）第二章“投标人须知”第1.4.3项、第1.4.4项规定的任何一种情形的；</w:t>
      </w:r>
    </w:p>
    <w:p>
      <w:pPr>
        <w:spacing w:line="480" w:lineRule="exact"/>
        <w:ind w:firstLine="482"/>
        <w:rPr>
          <w:rFonts w:hAnsi="仿宋" w:cs="仿宋"/>
          <w:color w:val="000000"/>
          <w:sz w:val="24"/>
          <w:szCs w:val="24"/>
        </w:rPr>
      </w:pPr>
      <w:r>
        <w:rPr>
          <w:rFonts w:hint="eastAsia" w:hAnsi="仿宋" w:cs="仿宋"/>
          <w:color w:val="000000"/>
          <w:sz w:val="24"/>
          <w:szCs w:val="24"/>
        </w:rPr>
        <w:t>（2）串通投标或弄虚作假或有其他违法行为的；</w:t>
      </w:r>
    </w:p>
    <w:p>
      <w:pPr>
        <w:spacing w:line="480" w:lineRule="exact"/>
        <w:ind w:firstLine="482"/>
        <w:rPr>
          <w:rFonts w:hAnsi="仿宋" w:cs="仿宋"/>
          <w:color w:val="000000"/>
          <w:sz w:val="24"/>
          <w:szCs w:val="24"/>
        </w:rPr>
      </w:pPr>
      <w:r>
        <w:rPr>
          <w:rFonts w:hint="eastAsia" w:hAnsi="仿宋" w:cs="仿宋"/>
          <w:color w:val="000000"/>
          <w:sz w:val="24"/>
          <w:szCs w:val="24"/>
        </w:rPr>
        <w:t>1）有下列情形之一的，视为投标人相互串通投标：</w:t>
      </w:r>
    </w:p>
    <w:p>
      <w:pPr>
        <w:spacing w:line="480" w:lineRule="exact"/>
        <w:ind w:firstLine="482"/>
        <w:rPr>
          <w:rFonts w:hAnsi="仿宋" w:cs="仿宋"/>
          <w:color w:val="000000"/>
          <w:sz w:val="24"/>
          <w:szCs w:val="24"/>
        </w:rPr>
      </w:pPr>
      <w:r>
        <w:rPr>
          <w:rFonts w:hint="eastAsia" w:hAnsi="仿宋" w:cs="仿宋"/>
          <w:color w:val="000000"/>
          <w:sz w:val="24"/>
          <w:szCs w:val="24"/>
        </w:rPr>
        <w:t>① 不同投标人的投标文件由同一单位或者个人编制；</w:t>
      </w:r>
    </w:p>
    <w:p>
      <w:pPr>
        <w:spacing w:line="480" w:lineRule="exact"/>
        <w:ind w:firstLine="482"/>
        <w:rPr>
          <w:rFonts w:hAnsi="仿宋" w:cs="仿宋"/>
          <w:color w:val="000000"/>
          <w:sz w:val="24"/>
          <w:szCs w:val="24"/>
        </w:rPr>
      </w:pPr>
      <w:r>
        <w:rPr>
          <w:rFonts w:hint="eastAsia" w:hAnsi="仿宋" w:cs="仿宋"/>
          <w:color w:val="000000"/>
          <w:sz w:val="24"/>
          <w:szCs w:val="24"/>
        </w:rPr>
        <w:t>② 不同投标人委托同一单位或者个人办理投标事宜；</w:t>
      </w:r>
    </w:p>
    <w:p>
      <w:pPr>
        <w:spacing w:line="480" w:lineRule="exact"/>
        <w:ind w:firstLine="482"/>
        <w:rPr>
          <w:rFonts w:hAnsi="仿宋" w:cs="仿宋"/>
          <w:color w:val="000000"/>
          <w:sz w:val="24"/>
          <w:szCs w:val="24"/>
        </w:rPr>
      </w:pPr>
      <w:r>
        <w:rPr>
          <w:rFonts w:hint="eastAsia" w:hAnsi="仿宋" w:cs="仿宋"/>
          <w:color w:val="000000"/>
          <w:sz w:val="24"/>
          <w:szCs w:val="24"/>
        </w:rPr>
        <w:t>③ 不同投标人的投标文件载明的项目管理成员为同一人；</w:t>
      </w:r>
    </w:p>
    <w:p>
      <w:pPr>
        <w:spacing w:line="480" w:lineRule="exact"/>
        <w:ind w:firstLine="482"/>
        <w:rPr>
          <w:rFonts w:hAnsi="仿宋" w:cs="仿宋"/>
          <w:color w:val="000000"/>
          <w:sz w:val="24"/>
          <w:szCs w:val="24"/>
        </w:rPr>
      </w:pPr>
      <w:r>
        <w:rPr>
          <w:rFonts w:hint="eastAsia" w:hAnsi="仿宋" w:cs="仿宋"/>
          <w:color w:val="000000"/>
          <w:sz w:val="24"/>
          <w:szCs w:val="24"/>
        </w:rPr>
        <w:t>④ 不同投标人的投标文件异常一致或者投标报价呈规律性差异；</w:t>
      </w:r>
    </w:p>
    <w:p>
      <w:pPr>
        <w:spacing w:line="480" w:lineRule="exact"/>
        <w:ind w:firstLine="482"/>
        <w:rPr>
          <w:rFonts w:hAnsi="仿宋" w:cs="仿宋"/>
          <w:color w:val="000000"/>
          <w:sz w:val="24"/>
          <w:szCs w:val="24"/>
        </w:rPr>
      </w:pPr>
      <w:r>
        <w:rPr>
          <w:rFonts w:hint="eastAsia" w:hAnsi="仿宋" w:cs="仿宋"/>
          <w:color w:val="000000"/>
          <w:sz w:val="24"/>
          <w:szCs w:val="24"/>
        </w:rPr>
        <w:t>⑤ 不同投标人的投标文件相互混装；</w:t>
      </w:r>
    </w:p>
    <w:p>
      <w:pPr>
        <w:spacing w:line="480" w:lineRule="exact"/>
        <w:ind w:firstLine="482"/>
        <w:rPr>
          <w:rFonts w:hAnsi="仿宋" w:cs="仿宋"/>
          <w:color w:val="000000"/>
          <w:sz w:val="24"/>
          <w:szCs w:val="24"/>
        </w:rPr>
      </w:pPr>
      <w:r>
        <w:rPr>
          <w:rFonts w:hint="eastAsia" w:hAnsi="仿宋" w:cs="仿宋"/>
          <w:color w:val="000000"/>
          <w:sz w:val="24"/>
          <w:szCs w:val="24"/>
        </w:rPr>
        <w:t>⑥ 不同投标人的投标保证金从同一单位或者个人的账户转出。</w:t>
      </w:r>
    </w:p>
    <w:p>
      <w:pPr>
        <w:spacing w:line="480" w:lineRule="exact"/>
        <w:ind w:firstLine="482"/>
        <w:rPr>
          <w:rFonts w:hAnsi="仿宋" w:cs="仿宋"/>
          <w:color w:val="000000"/>
          <w:sz w:val="24"/>
          <w:szCs w:val="24"/>
        </w:rPr>
      </w:pPr>
      <w:r>
        <w:rPr>
          <w:rFonts w:hint="eastAsia" w:hAnsi="仿宋" w:cs="仿宋"/>
          <w:color w:val="000000"/>
          <w:sz w:val="24"/>
          <w:szCs w:val="24"/>
        </w:rPr>
        <w:t>2）有下列情形之一的，属于弄虚作假行为：</w:t>
      </w:r>
    </w:p>
    <w:p>
      <w:pPr>
        <w:spacing w:line="480" w:lineRule="exact"/>
        <w:ind w:firstLine="482"/>
        <w:rPr>
          <w:rFonts w:hAnsi="仿宋" w:cs="仿宋"/>
          <w:color w:val="000000"/>
          <w:sz w:val="24"/>
          <w:szCs w:val="24"/>
        </w:rPr>
      </w:pPr>
      <w:r>
        <w:rPr>
          <w:rFonts w:hint="eastAsia" w:hAnsi="仿宋" w:cs="仿宋"/>
          <w:color w:val="000000"/>
          <w:sz w:val="24"/>
          <w:szCs w:val="24"/>
        </w:rPr>
        <w:t>① 使用通过受让或者租借等方式获取的资格、资质证书投标的，即以他人名义投标的。</w:t>
      </w:r>
    </w:p>
    <w:p>
      <w:pPr>
        <w:spacing w:line="480" w:lineRule="exact"/>
        <w:ind w:firstLine="482"/>
        <w:rPr>
          <w:rFonts w:hAnsi="仿宋" w:cs="仿宋"/>
          <w:color w:val="000000"/>
          <w:sz w:val="24"/>
          <w:szCs w:val="24"/>
        </w:rPr>
      </w:pPr>
      <w:r>
        <w:rPr>
          <w:rFonts w:hint="eastAsia" w:hAnsi="仿宋" w:cs="仿宋"/>
          <w:color w:val="000000"/>
          <w:sz w:val="24"/>
          <w:szCs w:val="24"/>
        </w:rPr>
        <w:t>② 使用伪造、变造的许可证件；</w:t>
      </w:r>
    </w:p>
    <w:p>
      <w:pPr>
        <w:spacing w:line="480" w:lineRule="exact"/>
        <w:ind w:firstLine="482"/>
        <w:rPr>
          <w:rFonts w:hAnsi="仿宋" w:cs="仿宋"/>
          <w:color w:val="000000"/>
          <w:sz w:val="24"/>
          <w:szCs w:val="24"/>
        </w:rPr>
      </w:pPr>
      <w:r>
        <w:rPr>
          <w:rFonts w:hint="eastAsia" w:hAnsi="仿宋" w:cs="仿宋"/>
          <w:color w:val="000000"/>
          <w:sz w:val="24"/>
          <w:szCs w:val="24"/>
        </w:rPr>
        <w:t>③ 提供虚假的财务状况或者业绩；</w:t>
      </w:r>
    </w:p>
    <w:p>
      <w:pPr>
        <w:spacing w:line="470" w:lineRule="exact"/>
        <w:ind w:firstLine="482"/>
        <w:rPr>
          <w:rFonts w:hAnsi="仿宋" w:cs="仿宋"/>
          <w:color w:val="000000"/>
          <w:sz w:val="24"/>
          <w:szCs w:val="24"/>
        </w:rPr>
      </w:pPr>
      <w:r>
        <w:rPr>
          <w:rFonts w:hint="eastAsia" w:hAnsi="仿宋" w:cs="仿宋"/>
          <w:color w:val="000000"/>
          <w:sz w:val="24"/>
          <w:szCs w:val="24"/>
        </w:rPr>
        <w:t>④ 提供虚假的项目负责人或者主要技术人员简历、劳动关系证明；</w:t>
      </w:r>
    </w:p>
    <w:p>
      <w:pPr>
        <w:spacing w:line="470" w:lineRule="exact"/>
        <w:ind w:firstLine="482"/>
        <w:rPr>
          <w:rFonts w:hAnsi="仿宋" w:cs="仿宋"/>
          <w:color w:val="000000"/>
          <w:sz w:val="24"/>
          <w:szCs w:val="24"/>
        </w:rPr>
      </w:pPr>
      <w:r>
        <w:rPr>
          <w:rFonts w:hint="eastAsia" w:hAnsi="仿宋" w:cs="仿宋"/>
          <w:color w:val="000000"/>
          <w:sz w:val="24"/>
          <w:szCs w:val="24"/>
        </w:rPr>
        <w:t>⑤ 提供虚假的信用状况；</w:t>
      </w:r>
    </w:p>
    <w:p>
      <w:pPr>
        <w:spacing w:line="470" w:lineRule="exact"/>
        <w:ind w:firstLine="482"/>
        <w:rPr>
          <w:rFonts w:hAnsi="仿宋" w:cs="仿宋"/>
          <w:color w:val="000000"/>
          <w:sz w:val="24"/>
          <w:szCs w:val="24"/>
        </w:rPr>
      </w:pPr>
      <w:r>
        <w:rPr>
          <w:rFonts w:hint="eastAsia" w:hAnsi="仿宋" w:cs="仿宋"/>
          <w:color w:val="000000"/>
          <w:sz w:val="24"/>
          <w:szCs w:val="24"/>
        </w:rPr>
        <w:t>⑥ 其他弄虚作假的行为。</w:t>
      </w:r>
    </w:p>
    <w:p>
      <w:pPr>
        <w:spacing w:line="470" w:lineRule="exact"/>
        <w:ind w:firstLine="482"/>
        <w:rPr>
          <w:rFonts w:hAnsi="仿宋" w:cs="仿宋"/>
          <w:color w:val="000000"/>
          <w:sz w:val="24"/>
          <w:szCs w:val="24"/>
        </w:rPr>
      </w:pPr>
      <w:r>
        <w:rPr>
          <w:rFonts w:hint="eastAsia" w:hAnsi="仿宋" w:cs="仿宋"/>
          <w:color w:val="000000"/>
          <w:sz w:val="24"/>
          <w:szCs w:val="24"/>
        </w:rPr>
        <w:t>3.2.3投标报价有算术错误的，评标委员会按以下原则对投标报价进行修正，修正的价格经投标人书面确认后具有约束力。</w:t>
      </w:r>
    </w:p>
    <w:p>
      <w:pPr>
        <w:spacing w:line="470" w:lineRule="exact"/>
        <w:ind w:firstLine="482"/>
        <w:rPr>
          <w:rFonts w:hAnsi="仿宋" w:cs="仿宋"/>
          <w:color w:val="000000"/>
          <w:sz w:val="24"/>
          <w:szCs w:val="24"/>
        </w:rPr>
      </w:pPr>
      <w:r>
        <w:rPr>
          <w:rFonts w:hint="eastAsia" w:hAnsi="仿宋" w:cs="仿宋"/>
          <w:color w:val="000000"/>
          <w:sz w:val="24"/>
          <w:szCs w:val="24"/>
        </w:rPr>
        <w:t>投标文件中的大写金额与小写金额不一致的，以大写金额为准；</w:t>
      </w:r>
    </w:p>
    <w:p>
      <w:pPr>
        <w:spacing w:line="470" w:lineRule="exact"/>
        <w:ind w:firstLine="482"/>
        <w:rPr>
          <w:rFonts w:hAnsi="仿宋" w:cs="仿宋"/>
          <w:color w:val="000000"/>
          <w:sz w:val="24"/>
          <w:szCs w:val="24"/>
        </w:rPr>
      </w:pPr>
      <w:r>
        <w:rPr>
          <w:rFonts w:hint="eastAsia" w:hAnsi="仿宋" w:cs="仿宋"/>
          <w:color w:val="000000"/>
          <w:sz w:val="24"/>
          <w:szCs w:val="24"/>
        </w:rPr>
        <w:t>3.2.4 评标委员会否决不合格投标后，因有效投标不足三个使得投标明显缺乏竞争的，评标委员会可以否决全部投标。</w:t>
      </w:r>
    </w:p>
    <w:p>
      <w:pPr>
        <w:pStyle w:val="7"/>
        <w:spacing w:after="0" w:line="470" w:lineRule="exact"/>
        <w:ind w:firstLine="482"/>
        <w:jc w:val="both"/>
        <w:rPr>
          <w:rFonts w:ascii="仿宋_GB2312" w:hAnsi="仿宋" w:cs="仿宋"/>
          <w:color w:val="000000"/>
        </w:rPr>
      </w:pPr>
      <w:bookmarkStart w:id="201" w:name="_Toc19736"/>
      <w:bookmarkStart w:id="202" w:name="_Toc18603106"/>
      <w:r>
        <w:rPr>
          <w:rFonts w:hint="eastAsia" w:ascii="仿宋_GB2312" w:hAnsi="仿宋" w:cs="仿宋"/>
          <w:color w:val="000000"/>
        </w:rPr>
        <w:t>3.3 详细评审</w:t>
      </w:r>
      <w:bookmarkEnd w:id="201"/>
      <w:bookmarkEnd w:id="202"/>
    </w:p>
    <w:p>
      <w:pPr>
        <w:spacing w:line="470" w:lineRule="exact"/>
        <w:ind w:firstLine="482"/>
        <w:rPr>
          <w:rFonts w:hAnsi="仿宋" w:cs="仿宋"/>
          <w:color w:val="000000"/>
          <w:sz w:val="24"/>
          <w:szCs w:val="24"/>
        </w:rPr>
      </w:pPr>
      <w:r>
        <w:rPr>
          <w:rFonts w:hint="eastAsia" w:hAnsi="仿宋" w:cs="仿宋"/>
          <w:color w:val="000000"/>
          <w:sz w:val="24"/>
          <w:szCs w:val="24"/>
        </w:rPr>
        <w:t>评标委员会对通过了初步评审的投标文件进行详细评审。</w:t>
      </w:r>
    </w:p>
    <w:p>
      <w:pPr>
        <w:spacing w:line="470" w:lineRule="exact"/>
        <w:ind w:firstLine="482"/>
        <w:rPr>
          <w:rFonts w:hAnsi="仿宋" w:cs="仿宋"/>
          <w:color w:val="000000"/>
          <w:sz w:val="24"/>
          <w:szCs w:val="24"/>
        </w:rPr>
      </w:pPr>
      <w:r>
        <w:rPr>
          <w:rFonts w:hint="eastAsia" w:hAnsi="仿宋" w:cs="仿宋"/>
          <w:color w:val="000000"/>
          <w:sz w:val="24"/>
          <w:szCs w:val="24"/>
        </w:rPr>
        <w:t>3.3.1 技术评审</w:t>
      </w:r>
    </w:p>
    <w:p>
      <w:pPr>
        <w:spacing w:line="470" w:lineRule="exact"/>
        <w:ind w:firstLine="482"/>
        <w:rPr>
          <w:rFonts w:hAnsi="仿宋" w:cs="仿宋"/>
          <w:color w:val="000000"/>
          <w:sz w:val="24"/>
          <w:szCs w:val="24"/>
        </w:rPr>
      </w:pPr>
      <w:bookmarkStart w:id="203" w:name="EB50d52c40070e403d9be985a212210d32"/>
      <w:r>
        <w:rPr>
          <w:rFonts w:hint="eastAsia" w:hAnsi="仿宋" w:cs="仿宋"/>
          <w:color w:val="000000"/>
          <w:sz w:val="24"/>
          <w:szCs w:val="24"/>
        </w:rPr>
        <w:t>评标委员会依据评标办法前附表第2.2.2（1）款规定的评标因素及评审标准进行详细性评审，评审方法如下：</w:t>
      </w:r>
    </w:p>
    <w:p>
      <w:pPr>
        <w:spacing w:line="470" w:lineRule="exact"/>
        <w:ind w:firstLine="482"/>
        <w:rPr>
          <w:rFonts w:hAnsi="仿宋" w:cs="仿宋"/>
          <w:color w:val="000000"/>
          <w:sz w:val="24"/>
          <w:szCs w:val="24"/>
        </w:rPr>
      </w:pPr>
      <w:r>
        <w:rPr>
          <w:rFonts w:hint="eastAsia" w:hAnsi="仿宋" w:cs="仿宋"/>
          <w:color w:val="000000"/>
          <w:sz w:val="24"/>
          <w:szCs w:val="24"/>
        </w:rPr>
        <w:t>量化评分。评标委员会应依据招标文件的要求、特点及现场条件对投标人技术标独立进行评分，投标人该环节最终得分为各评委评分中去掉一个最高分和一个最低分后的算术平均值，评分分值计算保留至小数点后两位，小数点后第三位“四舍五入”。</w:t>
      </w:r>
      <w:bookmarkEnd w:id="203"/>
    </w:p>
    <w:p>
      <w:pPr>
        <w:spacing w:line="470" w:lineRule="exact"/>
        <w:ind w:firstLine="482"/>
        <w:rPr>
          <w:rFonts w:hAnsi="仿宋" w:cs="仿宋"/>
          <w:color w:val="000000"/>
          <w:sz w:val="24"/>
          <w:szCs w:val="24"/>
        </w:rPr>
      </w:pPr>
      <w:r>
        <w:rPr>
          <w:rFonts w:hint="eastAsia" w:hAnsi="仿宋" w:cs="仿宋"/>
          <w:color w:val="000000"/>
          <w:sz w:val="24"/>
          <w:szCs w:val="24"/>
        </w:rPr>
        <w:t>3.3.2 综合评审</w:t>
      </w:r>
    </w:p>
    <w:p>
      <w:pPr>
        <w:spacing w:line="470" w:lineRule="exact"/>
        <w:ind w:firstLine="482"/>
        <w:rPr>
          <w:rFonts w:hAnsi="仿宋" w:cs="仿宋"/>
          <w:color w:val="000000"/>
          <w:sz w:val="24"/>
          <w:szCs w:val="24"/>
        </w:rPr>
      </w:pPr>
      <w:bookmarkStart w:id="204" w:name="EBa86d7aa452da4eeda08974dd8b7ba22c"/>
      <w:r>
        <w:rPr>
          <w:rFonts w:hint="eastAsia" w:hAnsi="仿宋" w:cs="仿宋"/>
          <w:color w:val="000000"/>
          <w:sz w:val="24"/>
          <w:szCs w:val="24"/>
        </w:rPr>
        <w:t>评标委员会依据评标办法前附表第2.2.2（2）款规定的评标因素及评审标准进行详细评审，投标人该环节最终得分为各评委评分的算术平均值。</w:t>
      </w:r>
      <w:bookmarkEnd w:id="204"/>
    </w:p>
    <w:p>
      <w:pPr>
        <w:spacing w:line="470" w:lineRule="exact"/>
        <w:ind w:firstLine="482"/>
        <w:rPr>
          <w:rFonts w:hAnsi="仿宋" w:cs="仿宋"/>
          <w:color w:val="000000"/>
          <w:sz w:val="24"/>
          <w:szCs w:val="24"/>
        </w:rPr>
      </w:pPr>
      <w:r>
        <w:rPr>
          <w:rFonts w:hint="eastAsia" w:hAnsi="仿宋" w:cs="仿宋"/>
          <w:color w:val="000000"/>
          <w:sz w:val="24"/>
          <w:szCs w:val="24"/>
        </w:rPr>
        <w:t>3.3.3 经济评审</w:t>
      </w:r>
    </w:p>
    <w:p>
      <w:pPr>
        <w:spacing w:line="470" w:lineRule="exact"/>
        <w:ind w:firstLine="482"/>
        <w:rPr>
          <w:rFonts w:hAnsi="仿宋" w:cs="仿宋"/>
          <w:color w:val="000000"/>
          <w:sz w:val="24"/>
          <w:szCs w:val="24"/>
        </w:rPr>
      </w:pPr>
      <w:r>
        <w:rPr>
          <w:rFonts w:hint="eastAsia" w:hAnsi="仿宋" w:cs="仿宋"/>
          <w:color w:val="000000"/>
          <w:sz w:val="24"/>
          <w:szCs w:val="24"/>
        </w:rPr>
        <w:t>评标委员会依据评标办法前附表第2.2.2（3）款规定的评标因素及评审标准进行详细评审，投标人该环节最终得分为各评委评分的算术平均值。</w:t>
      </w:r>
    </w:p>
    <w:p>
      <w:pPr>
        <w:spacing w:line="470" w:lineRule="exact"/>
        <w:ind w:firstLine="482"/>
        <w:rPr>
          <w:rFonts w:hAnsi="仿宋" w:cs="仿宋"/>
          <w:color w:val="000000"/>
          <w:sz w:val="24"/>
          <w:szCs w:val="24"/>
        </w:rPr>
      </w:pPr>
      <w:r>
        <w:rPr>
          <w:rFonts w:hint="eastAsia" w:hAnsi="仿宋" w:cs="仿宋"/>
          <w:color w:val="000000"/>
          <w:sz w:val="24"/>
          <w:szCs w:val="24"/>
        </w:rPr>
        <w:t>评标委员会成员对各投标人的综合评分为其各分项得分之和。</w:t>
      </w:r>
    </w:p>
    <w:p>
      <w:pPr>
        <w:pStyle w:val="7"/>
        <w:spacing w:after="0" w:line="470" w:lineRule="exact"/>
        <w:ind w:firstLine="482"/>
        <w:jc w:val="both"/>
        <w:rPr>
          <w:rFonts w:ascii="仿宋_GB2312" w:hAnsi="仿宋" w:cs="仿宋"/>
          <w:color w:val="000000"/>
        </w:rPr>
      </w:pPr>
      <w:bookmarkStart w:id="205" w:name="_Toc18603107"/>
      <w:bookmarkStart w:id="206" w:name="_Toc5331"/>
      <w:r>
        <w:rPr>
          <w:rFonts w:hint="eastAsia" w:ascii="仿宋_GB2312" w:hAnsi="仿宋" w:cs="仿宋"/>
          <w:color w:val="000000"/>
        </w:rPr>
        <w:t>3.4 投标文件的澄清和补正</w:t>
      </w:r>
      <w:bookmarkEnd w:id="205"/>
      <w:bookmarkEnd w:id="206"/>
    </w:p>
    <w:p>
      <w:pPr>
        <w:spacing w:line="470" w:lineRule="exact"/>
        <w:ind w:firstLine="482"/>
        <w:rPr>
          <w:rFonts w:hAnsi="仿宋" w:cs="仿宋"/>
          <w:color w:val="000000"/>
          <w:sz w:val="24"/>
          <w:szCs w:val="24"/>
        </w:rPr>
      </w:pPr>
      <w:r>
        <w:rPr>
          <w:rFonts w:hint="eastAsia" w:hAnsi="仿宋" w:cs="仿宋"/>
          <w:color w:val="000000"/>
          <w:sz w:val="24"/>
          <w:szCs w:val="24"/>
        </w:rPr>
        <w:t>3.4.1 在评标过程中，评标委员会可以书面形式要求投标人对所提交投标文件中不明确的内容进行书面澄清或说明，或者对细微偏差进行补正。评标委员会不接受投标人主动提出的澄清、说明或补正。</w:t>
      </w:r>
    </w:p>
    <w:p>
      <w:pPr>
        <w:spacing w:line="480" w:lineRule="exact"/>
        <w:ind w:firstLine="482"/>
        <w:rPr>
          <w:rFonts w:hAnsi="仿宋" w:cs="仿宋"/>
          <w:color w:val="000000"/>
          <w:sz w:val="24"/>
          <w:szCs w:val="24"/>
        </w:rPr>
      </w:pPr>
      <w:r>
        <w:rPr>
          <w:rFonts w:hint="eastAsia" w:hAnsi="仿宋" w:cs="仿宋"/>
          <w:color w:val="000000"/>
          <w:sz w:val="24"/>
          <w:szCs w:val="24"/>
        </w:rPr>
        <w:t>3.4.2 澄清、说明和补正不得改变投标文件的实质性内容（算术性错误修正的除外）。投标人的书面澄清、说明和补正属于投标文件的组成部分。</w:t>
      </w:r>
    </w:p>
    <w:p>
      <w:pPr>
        <w:spacing w:line="480" w:lineRule="exact"/>
        <w:ind w:firstLine="482"/>
        <w:rPr>
          <w:rFonts w:hAnsi="仿宋" w:cs="仿宋"/>
          <w:color w:val="000000"/>
          <w:sz w:val="24"/>
          <w:szCs w:val="24"/>
        </w:rPr>
      </w:pPr>
      <w:r>
        <w:rPr>
          <w:rFonts w:hint="eastAsia" w:hAnsi="仿宋" w:cs="仿宋"/>
          <w:color w:val="000000"/>
          <w:sz w:val="24"/>
          <w:szCs w:val="24"/>
        </w:rPr>
        <w:t>3.4.3 评标委员会对投标人提交的澄清、说明或补正有疑问的，可以要求投标人进一步澄清、说明或补正，直至满足评标委员会的要求。</w:t>
      </w:r>
    </w:p>
    <w:p>
      <w:pPr>
        <w:spacing w:line="480" w:lineRule="exact"/>
        <w:ind w:firstLine="482"/>
        <w:rPr>
          <w:rFonts w:hAnsi="仿宋" w:cs="仿宋"/>
          <w:color w:val="000000"/>
          <w:sz w:val="24"/>
          <w:szCs w:val="24"/>
        </w:rPr>
      </w:pPr>
      <w:r>
        <w:rPr>
          <w:rFonts w:hint="eastAsia" w:hAnsi="仿宋" w:cs="仿宋"/>
          <w:color w:val="000000"/>
          <w:sz w:val="24"/>
          <w:szCs w:val="24"/>
        </w:rPr>
        <w:t>3.4.4 投标人拒不按照要求对投标文件进行澄清、说明或者补正的，评标委员会可以在详细评审时按招标文件规定作出不利于投标人的评审或将其投标文件作废标处理。</w:t>
      </w:r>
    </w:p>
    <w:p>
      <w:pPr>
        <w:pStyle w:val="7"/>
        <w:spacing w:after="0" w:line="480" w:lineRule="exact"/>
        <w:ind w:firstLine="482" w:firstLineChars="200"/>
        <w:jc w:val="both"/>
        <w:rPr>
          <w:rFonts w:ascii="仿宋_GB2312" w:hAnsi="仿宋" w:cs="仿宋"/>
          <w:color w:val="000000"/>
        </w:rPr>
      </w:pPr>
      <w:bookmarkStart w:id="207" w:name="_Toc18603108"/>
      <w:bookmarkStart w:id="208" w:name="_Toc23501"/>
      <w:r>
        <w:rPr>
          <w:rFonts w:hint="eastAsia" w:ascii="仿宋_GB2312" w:hAnsi="仿宋" w:cs="仿宋"/>
          <w:color w:val="000000"/>
        </w:rPr>
        <w:t>3.5 评标结果</w:t>
      </w:r>
      <w:bookmarkEnd w:id="207"/>
      <w:bookmarkEnd w:id="208"/>
    </w:p>
    <w:p>
      <w:pPr>
        <w:spacing w:line="480" w:lineRule="exact"/>
        <w:ind w:firstLine="482"/>
        <w:rPr>
          <w:rFonts w:hAnsi="仿宋" w:cs="仿宋"/>
          <w:color w:val="000000"/>
          <w:sz w:val="24"/>
          <w:szCs w:val="24"/>
        </w:rPr>
      </w:pPr>
      <w:r>
        <w:rPr>
          <w:rFonts w:hint="eastAsia" w:hAnsi="仿宋" w:cs="仿宋"/>
          <w:color w:val="000000"/>
          <w:sz w:val="24"/>
          <w:szCs w:val="24"/>
        </w:rPr>
        <w:t>3.5.1 除第二章“投标人须知”前附表授权直接确定中标人外，评标委员会按总得分由高到低顺序推荐中标候选人。</w:t>
      </w:r>
    </w:p>
    <w:p>
      <w:pPr>
        <w:spacing w:line="480" w:lineRule="exact"/>
        <w:ind w:firstLine="482"/>
        <w:rPr>
          <w:rFonts w:hAnsi="仿宋" w:cs="仿宋"/>
          <w:color w:val="000000"/>
          <w:sz w:val="24"/>
          <w:szCs w:val="24"/>
        </w:rPr>
      </w:pPr>
      <w:r>
        <w:rPr>
          <w:rFonts w:hint="eastAsia" w:hAnsi="仿宋" w:cs="仿宋"/>
          <w:color w:val="000000"/>
          <w:sz w:val="24"/>
          <w:szCs w:val="24"/>
        </w:rPr>
        <w:t>3.52 评标委员会完成评标后，应当向招标人提交书面评标报告。</w:t>
      </w:r>
    </w:p>
    <w:p>
      <w:pPr>
        <w:pStyle w:val="6"/>
        <w:spacing w:line="480" w:lineRule="exact"/>
        <w:ind w:firstLine="482" w:firstLineChars="200"/>
        <w:jc w:val="both"/>
        <w:rPr>
          <w:rFonts w:ascii="仿宋_GB2312" w:hAnsi="仿宋" w:cs="仿宋"/>
          <w:color w:val="000000"/>
          <w:sz w:val="24"/>
          <w:szCs w:val="24"/>
        </w:rPr>
      </w:pPr>
      <w:bookmarkStart w:id="209" w:name="_Toc6224"/>
      <w:bookmarkStart w:id="210" w:name="_Toc523213622"/>
      <w:bookmarkStart w:id="211" w:name="_Toc13872"/>
      <w:r>
        <w:rPr>
          <w:rFonts w:hint="eastAsia" w:ascii="仿宋_GB2312" w:hAnsi="仿宋" w:cs="仿宋"/>
          <w:color w:val="000000"/>
          <w:sz w:val="24"/>
          <w:szCs w:val="24"/>
        </w:rPr>
        <w:t>4. 特殊情况的处置程序</w:t>
      </w:r>
      <w:bookmarkEnd w:id="209"/>
      <w:bookmarkEnd w:id="210"/>
      <w:bookmarkEnd w:id="211"/>
    </w:p>
    <w:p>
      <w:pPr>
        <w:pStyle w:val="7"/>
        <w:spacing w:after="0" w:line="480" w:lineRule="exact"/>
        <w:ind w:firstLine="482" w:firstLineChars="200"/>
        <w:jc w:val="both"/>
        <w:rPr>
          <w:rFonts w:ascii="仿宋_GB2312" w:hAnsi="仿宋" w:cs="仿宋"/>
          <w:color w:val="000000"/>
        </w:rPr>
      </w:pPr>
      <w:bookmarkStart w:id="212" w:name="_Toc10916"/>
      <w:bookmarkStart w:id="213" w:name="_Toc18603110"/>
      <w:r>
        <w:rPr>
          <w:rFonts w:hint="eastAsia" w:ascii="仿宋_GB2312" w:hAnsi="仿宋" w:cs="仿宋"/>
          <w:color w:val="000000"/>
        </w:rPr>
        <w:t>4.1 关于评标活动暂停</w:t>
      </w:r>
      <w:bookmarkEnd w:id="212"/>
      <w:bookmarkEnd w:id="213"/>
    </w:p>
    <w:p>
      <w:pPr>
        <w:spacing w:line="480" w:lineRule="exact"/>
        <w:ind w:firstLine="482"/>
        <w:rPr>
          <w:rFonts w:hAnsi="仿宋" w:cs="仿宋"/>
          <w:color w:val="000000"/>
          <w:sz w:val="24"/>
          <w:szCs w:val="24"/>
        </w:rPr>
      </w:pPr>
      <w:r>
        <w:rPr>
          <w:rFonts w:hint="eastAsia" w:hAnsi="仿宋" w:cs="仿宋"/>
          <w:color w:val="000000"/>
          <w:sz w:val="24"/>
          <w:szCs w:val="24"/>
        </w:rPr>
        <w:t>4.1.1 评标委员会应当执行连续评标的原则，按评标办法中规定的程序、内容、方法、标准完成全部评标工作。只有发生不可抗力导致评标工作无法继续时，评标活动方可暂停。</w:t>
      </w:r>
    </w:p>
    <w:p>
      <w:pPr>
        <w:spacing w:line="480" w:lineRule="exact"/>
        <w:ind w:firstLine="482"/>
        <w:rPr>
          <w:rFonts w:hAnsi="仿宋" w:cs="仿宋"/>
          <w:color w:val="000000"/>
          <w:sz w:val="24"/>
          <w:szCs w:val="24"/>
        </w:rPr>
      </w:pPr>
      <w:r>
        <w:rPr>
          <w:rFonts w:hint="eastAsia" w:hAnsi="仿宋" w:cs="仿宋"/>
          <w:color w:val="000000"/>
          <w:sz w:val="24"/>
          <w:szCs w:val="24"/>
        </w:rPr>
        <w:t>4.1.2 发生评标暂停情况时，评标委员会应当封存全部投标文件和评标记录，待不可抗力的影响结束且具备继续评标的条件时，由原评标委员会继续评标。</w:t>
      </w:r>
    </w:p>
    <w:p>
      <w:pPr>
        <w:pStyle w:val="7"/>
        <w:spacing w:after="0" w:line="480" w:lineRule="exact"/>
        <w:ind w:firstLine="482" w:firstLineChars="200"/>
        <w:jc w:val="both"/>
        <w:rPr>
          <w:rFonts w:ascii="仿宋_GB2312" w:hAnsi="仿宋" w:cs="仿宋"/>
          <w:color w:val="000000"/>
        </w:rPr>
      </w:pPr>
      <w:bookmarkStart w:id="214" w:name="_Toc26499"/>
      <w:bookmarkStart w:id="215" w:name="_Toc18603111"/>
      <w:r>
        <w:rPr>
          <w:rFonts w:hint="eastAsia" w:ascii="仿宋_GB2312" w:hAnsi="仿宋" w:cs="仿宋"/>
          <w:color w:val="000000"/>
        </w:rPr>
        <w:t>4.2 关于评标中途更换评标委员会成员</w:t>
      </w:r>
      <w:bookmarkEnd w:id="214"/>
      <w:bookmarkEnd w:id="215"/>
    </w:p>
    <w:p>
      <w:pPr>
        <w:spacing w:line="480" w:lineRule="exact"/>
        <w:ind w:firstLine="482"/>
        <w:rPr>
          <w:rFonts w:hAnsi="仿宋" w:cs="仿宋"/>
          <w:color w:val="000000"/>
          <w:sz w:val="24"/>
          <w:szCs w:val="24"/>
        </w:rPr>
      </w:pPr>
      <w:r>
        <w:rPr>
          <w:rFonts w:hint="eastAsia" w:hAnsi="仿宋" w:cs="仿宋"/>
          <w:color w:val="000000"/>
          <w:sz w:val="24"/>
          <w:szCs w:val="24"/>
        </w:rPr>
        <w:t>4.2.1 除非发生下列情况之一，评标委员会成员不得在评标中途更换：</w:t>
      </w:r>
    </w:p>
    <w:p>
      <w:pPr>
        <w:spacing w:line="480" w:lineRule="exact"/>
        <w:ind w:firstLine="482"/>
        <w:rPr>
          <w:rFonts w:hAnsi="仿宋" w:cs="仿宋"/>
          <w:color w:val="000000"/>
          <w:sz w:val="24"/>
          <w:szCs w:val="24"/>
        </w:rPr>
      </w:pPr>
      <w:r>
        <w:rPr>
          <w:rFonts w:hint="eastAsia" w:hAnsi="仿宋" w:cs="仿宋"/>
          <w:color w:val="000000"/>
          <w:sz w:val="24"/>
          <w:szCs w:val="24"/>
        </w:rPr>
        <w:t>(1) 因不可抗拒的客观原因，不能到场或需在评标中途退出评标活动。</w:t>
      </w:r>
    </w:p>
    <w:p>
      <w:pPr>
        <w:spacing w:line="480" w:lineRule="exact"/>
        <w:ind w:firstLine="482"/>
        <w:rPr>
          <w:rFonts w:hAnsi="仿宋" w:cs="仿宋"/>
          <w:color w:val="000000"/>
          <w:sz w:val="24"/>
          <w:szCs w:val="24"/>
        </w:rPr>
      </w:pPr>
      <w:r>
        <w:rPr>
          <w:rFonts w:hint="eastAsia" w:hAnsi="仿宋" w:cs="仿宋"/>
          <w:color w:val="000000"/>
          <w:sz w:val="24"/>
          <w:szCs w:val="24"/>
        </w:rPr>
        <w:t>(2) 根据法律法规规定，某个或某几个评标委员会成员需要回避。</w:t>
      </w:r>
    </w:p>
    <w:p>
      <w:pPr>
        <w:spacing w:line="480" w:lineRule="exact"/>
        <w:ind w:firstLine="482"/>
        <w:rPr>
          <w:rFonts w:hAnsi="仿宋" w:cs="仿宋"/>
          <w:color w:val="000000"/>
          <w:sz w:val="24"/>
          <w:szCs w:val="24"/>
        </w:rPr>
      </w:pPr>
      <w:r>
        <w:rPr>
          <w:rFonts w:hint="eastAsia" w:hAnsi="仿宋" w:cs="仿宋"/>
          <w:color w:val="000000"/>
          <w:sz w:val="24"/>
          <w:szCs w:val="24"/>
        </w:rPr>
        <w:t>4.2.2 退出评标的评标委员会成员，其已完成的评标行为无效。由招标人根据本招标文件规定的评标委员会成员生产方式另行确定替代者进行评标。</w:t>
      </w:r>
    </w:p>
    <w:p>
      <w:pPr>
        <w:pStyle w:val="7"/>
        <w:spacing w:after="0" w:line="480" w:lineRule="exact"/>
        <w:ind w:firstLine="482" w:firstLineChars="200"/>
        <w:jc w:val="both"/>
        <w:rPr>
          <w:rFonts w:ascii="仿宋_GB2312" w:hAnsi="仿宋" w:cs="仿宋"/>
          <w:color w:val="000000"/>
        </w:rPr>
      </w:pPr>
      <w:bookmarkStart w:id="216" w:name="_Toc18603112"/>
      <w:bookmarkStart w:id="217" w:name="_Toc13058"/>
      <w:r>
        <w:rPr>
          <w:rFonts w:hint="eastAsia" w:ascii="仿宋_GB2312" w:hAnsi="仿宋" w:cs="仿宋"/>
          <w:color w:val="000000"/>
        </w:rPr>
        <w:t>4.3 评标争议处理</w:t>
      </w:r>
      <w:bookmarkEnd w:id="216"/>
      <w:bookmarkEnd w:id="217"/>
    </w:p>
    <w:p>
      <w:pPr>
        <w:spacing w:line="480" w:lineRule="exact"/>
        <w:ind w:firstLine="482"/>
        <w:rPr>
          <w:rFonts w:hAnsi="仿宋" w:cs="仿宋"/>
          <w:color w:val="000000"/>
          <w:sz w:val="24"/>
          <w:szCs w:val="24"/>
        </w:rPr>
      </w:pPr>
      <w:r>
        <w:rPr>
          <w:rFonts w:hint="eastAsia" w:hAnsi="仿宋" w:cs="仿宋"/>
          <w:color w:val="000000"/>
          <w:sz w:val="24"/>
          <w:szCs w:val="24"/>
        </w:rPr>
        <w:t>4.3.1 评标委员会全体成员应独立评审，对所提出的评审意见承担个人责任。</w:t>
      </w:r>
    </w:p>
    <w:p>
      <w:pPr>
        <w:spacing w:line="480" w:lineRule="exact"/>
        <w:ind w:firstLine="482"/>
        <w:rPr>
          <w:rFonts w:hAnsi="仿宋" w:cs="仿宋"/>
          <w:color w:val="000000"/>
          <w:sz w:val="24"/>
          <w:szCs w:val="24"/>
        </w:rPr>
      </w:pPr>
      <w:r>
        <w:rPr>
          <w:rFonts w:hint="eastAsia" w:hAnsi="仿宋" w:cs="仿宋"/>
          <w:color w:val="000000"/>
          <w:sz w:val="24"/>
          <w:szCs w:val="24"/>
        </w:rPr>
        <w:t>4.3.2 在任何评标环节中，需评标委员会就某项定性的评审结论做出表决的，由评标委员会全体成员按照少数服从多数的原则，以记名投票方式表决。表决不得违背法律、法规、规章和招标文件的规定。</w:t>
      </w:r>
    </w:p>
    <w:p>
      <w:pPr>
        <w:spacing w:line="480" w:lineRule="exact"/>
        <w:ind w:firstLine="482"/>
        <w:rPr>
          <w:rFonts w:hAnsi="仿宋" w:cs="仿宋"/>
          <w:color w:val="000000"/>
          <w:sz w:val="24"/>
          <w:szCs w:val="24"/>
        </w:rPr>
      </w:pPr>
      <w:r>
        <w:rPr>
          <w:rFonts w:hint="eastAsia" w:hAnsi="仿宋" w:cs="仿宋"/>
          <w:color w:val="000000"/>
          <w:sz w:val="24"/>
          <w:szCs w:val="24"/>
        </w:rPr>
        <w:t>4.3.3 评标委员会成员对集体决议或评审结论持有异议的，可以书面阐述其不同意见和理由。拒绝在集体决议或评标报告上签名，且不陈述其不同意见和理由的，视为同意集体决议或评标结论，评标委员会应当对此在评标报告中做出说明。</w:t>
      </w:r>
    </w:p>
    <w:p>
      <w:pPr>
        <w:pStyle w:val="6"/>
        <w:spacing w:line="480" w:lineRule="exact"/>
        <w:ind w:firstLine="482" w:firstLineChars="200"/>
        <w:jc w:val="both"/>
        <w:rPr>
          <w:rFonts w:ascii="仿宋_GB2312" w:hAnsi="仿宋" w:cs="仿宋"/>
          <w:color w:val="000000"/>
          <w:sz w:val="24"/>
          <w:szCs w:val="24"/>
        </w:rPr>
      </w:pPr>
      <w:bookmarkStart w:id="218" w:name="_Toc522293525"/>
      <w:bookmarkStart w:id="219" w:name="_Toc13835"/>
      <w:bookmarkStart w:id="220" w:name="_Toc28960"/>
      <w:r>
        <w:rPr>
          <w:rFonts w:hint="eastAsia" w:ascii="仿宋_GB2312" w:hAnsi="仿宋" w:cs="仿宋"/>
          <w:color w:val="000000"/>
          <w:sz w:val="24"/>
          <w:szCs w:val="24"/>
        </w:rPr>
        <w:t>5. 补充条款</w:t>
      </w:r>
      <w:bookmarkEnd w:id="218"/>
      <w:bookmarkEnd w:id="219"/>
      <w:bookmarkEnd w:id="220"/>
    </w:p>
    <w:p>
      <w:pPr>
        <w:rPr>
          <w:rFonts w:ascii="宋体" w:hAnsi="宋体" w:cs="宋体"/>
          <w:color w:val="000000"/>
        </w:rPr>
      </w:pPr>
      <w:bookmarkStart w:id="221" w:name="EBc7bd10bc363a411c8a388fc52443158e"/>
      <w:bookmarkEnd w:id="221"/>
    </w:p>
    <w:p>
      <w:pPr>
        <w:pStyle w:val="5"/>
        <w:pageBreakBefore/>
        <w:spacing w:before="0" w:after="0" w:line="480" w:lineRule="exact"/>
        <w:rPr>
          <w:rFonts w:cs="宋体"/>
          <w:color w:val="000000"/>
        </w:rPr>
      </w:pPr>
      <w:bookmarkStart w:id="222" w:name="_Toc23437"/>
      <w:bookmarkStart w:id="223" w:name="_Toc8235"/>
      <w:bookmarkStart w:id="224" w:name="_Toc522293526"/>
      <w:r>
        <w:rPr>
          <w:rFonts w:hint="eastAsia" w:cs="宋体"/>
          <w:color w:val="000000"/>
        </w:rPr>
        <w:t xml:space="preserve">第四章 </w:t>
      </w:r>
      <w:r>
        <w:rPr>
          <w:rFonts w:cs="宋体"/>
          <w:color w:val="000000"/>
        </w:rPr>
        <w:t xml:space="preserve"> </w:t>
      </w:r>
      <w:r>
        <w:rPr>
          <w:rFonts w:hint="eastAsia" w:cs="宋体"/>
          <w:color w:val="000000"/>
        </w:rPr>
        <w:t>合同条款及格式</w:t>
      </w:r>
      <w:bookmarkEnd w:id="222"/>
      <w:bookmarkEnd w:id="223"/>
      <w:bookmarkEnd w:id="224"/>
    </w:p>
    <w:p>
      <w:pPr>
        <w:pStyle w:val="28"/>
        <w:spacing w:line="480" w:lineRule="exact"/>
        <w:ind w:left="0" w:firstLine="0" w:firstLineChars="0"/>
        <w:jc w:val="center"/>
        <w:rPr>
          <w:rFonts w:ascii="楷体" w:hAnsi="楷体" w:eastAsia="楷体" w:cs="宋体"/>
          <w:bCs/>
          <w:color w:val="000000"/>
          <w:sz w:val="28"/>
          <w:szCs w:val="28"/>
        </w:rPr>
      </w:pPr>
      <w:r>
        <w:rPr>
          <w:rFonts w:hint="eastAsia" w:ascii="楷体" w:hAnsi="楷体" w:eastAsia="楷体" w:cs="宋体"/>
          <w:bCs/>
          <w:color w:val="000000"/>
          <w:sz w:val="28"/>
          <w:szCs w:val="28"/>
        </w:rPr>
        <w:t>（参考样式）</w:t>
      </w:r>
    </w:p>
    <w:p>
      <w:pPr>
        <w:pStyle w:val="211"/>
        <w:autoSpaceDE w:val="0"/>
        <w:autoSpaceDN w:val="0"/>
        <w:adjustRightInd w:val="0"/>
        <w:spacing w:line="480" w:lineRule="exact"/>
        <w:ind w:firstLine="482" w:firstLineChars="200"/>
        <w:rPr>
          <w:rFonts w:ascii="宋体" w:hAnsi="宋体" w:eastAsia="宋体" w:cs="宋体"/>
          <w:b/>
          <w:bCs/>
          <w:color w:val="000000"/>
          <w:kern w:val="0"/>
          <w:sz w:val="24"/>
          <w:szCs w:val="24"/>
        </w:rPr>
      </w:pPr>
    </w:p>
    <w:p>
      <w:pPr>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甲方（发包方）：</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湖北宜昌交运集团股份有限公司</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（全称）</w:t>
      </w:r>
    </w:p>
    <w:p>
      <w:pPr>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乙方（承包方）：</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（全称）</w:t>
      </w:r>
    </w:p>
    <w:p>
      <w:pPr>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根据《中华人民共和国合同法》《中华人民共和国招标投标法》及其他有关法律、法规，遵循平等、自愿、公平和诚实信用原则，双方就物业租赁智能用电管理改造升级项目有关事宜协商一致，订立本合同。</w:t>
      </w:r>
    </w:p>
    <w:p>
      <w:pPr>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一、项目概况</w:t>
      </w:r>
    </w:p>
    <w:p>
      <w:pPr>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（一）项目名称：物业租赁智能用电管理改造升级项目。</w:t>
      </w:r>
    </w:p>
    <w:p>
      <w:pPr>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二）项目地点：招标人指定地点（包含但不限于宜昌市伍家岗区东艳路48号、伍家区港窑路5号汽贸城院内、伍家区港窑路4号、伍家区三峡游客中心、伍家区夷陵大道124号、伍家区花艳路3号长途中心站、西陵区果园二路长途车站、西陵区东山大道102号海通车站、西陵区绿萝路1号、开发区发展大道启辰4S店、夷陵区小溪塔夷陵路47号夷陵客运公司、猇亭区猇亭大道162号猇亭车站、松滋、宜都、五峰、兴山、恩施等集团公司各单位场地）。</w:t>
      </w:r>
    </w:p>
    <w:p>
      <w:pPr>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（三）资金来源：企业自筹资金。</w:t>
      </w:r>
    </w:p>
    <w:p>
      <w:pPr>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（四）承包内容：</w:t>
      </w:r>
    </w:p>
    <w:p>
      <w:pPr>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物业租赁智能用电管理系统设计方案（含管理系统软件开发设计、设施设备安装施工设计等）；物业租赁智能用电管理系统软件平台开发（含开发、许可、部署、调试、异构系统对接等，满足用电管理需求）；物业租赁智能用电管理系统设施设备采购（含终端电表、电表内置模块、数据采集器（集中器）及相关辅材）；物业租赁智能用电管理系统设施设备安装及改造（含前述设施设备的安装、存量设施设备的改造、所有设施设备的调试和连接）。</w:t>
      </w:r>
    </w:p>
    <w:p>
      <w:pPr>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详见第五章商务及技术要求。</w:t>
      </w:r>
    </w:p>
    <w:p>
      <w:pPr>
        <w:spacing w:line="480" w:lineRule="exact"/>
        <w:ind w:firstLine="482" w:firstLineChars="200"/>
        <w:rPr>
          <w:rFonts w:ascii="宋体" w:hAnsi="宋体" w:eastAsia="宋体" w:cs="宋体"/>
          <w:color w:val="000000"/>
          <w:kern w:val="0"/>
          <w:sz w:val="24"/>
          <w:szCs w:val="24"/>
        </w:rPr>
      </w:pPr>
      <w:r>
        <w:rPr>
          <w:rFonts w:hint="eastAsia" w:ascii="宋体" w:hAnsi="宋体" w:eastAsia="宋体" w:cs="宋体"/>
          <w:b/>
          <w:color w:val="000000"/>
          <w:kern w:val="0"/>
          <w:sz w:val="24"/>
          <w:szCs w:val="24"/>
        </w:rPr>
        <w:t>二、合同工期：</w:t>
      </w:r>
      <w:r>
        <w:rPr>
          <w:rFonts w:ascii="宋体" w:hAnsi="宋体" w:eastAsia="宋体" w:cs="宋体"/>
          <w:color w:val="000000"/>
          <w:kern w:val="0"/>
          <w:sz w:val="24"/>
          <w:szCs w:val="24"/>
        </w:rPr>
        <w:t>12</w:t>
      </w:r>
      <w:r>
        <w:rPr>
          <w:rFonts w:hint="eastAsia" w:ascii="宋体" w:hAnsi="宋体" w:eastAsia="宋体" w:cs="宋体"/>
          <w:color w:val="000000"/>
          <w:kern w:val="0"/>
          <w:sz w:val="24"/>
          <w:szCs w:val="24"/>
        </w:rPr>
        <w:t>0日历天。</w:t>
      </w:r>
    </w:p>
    <w:p>
      <w:pPr>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其中，系统开发及设备交货期：</w:t>
      </w:r>
      <w:r>
        <w:rPr>
          <w:rFonts w:ascii="宋体" w:hAnsi="宋体" w:eastAsia="宋体" w:cs="宋体"/>
          <w:color w:val="000000"/>
          <w:kern w:val="0"/>
          <w:sz w:val="24"/>
          <w:szCs w:val="24"/>
        </w:rPr>
        <w:t>60</w:t>
      </w:r>
      <w:r>
        <w:rPr>
          <w:rFonts w:hint="eastAsia" w:ascii="宋体" w:hAnsi="宋体" w:eastAsia="宋体" w:cs="宋体"/>
          <w:color w:val="000000"/>
          <w:kern w:val="0"/>
          <w:sz w:val="24"/>
          <w:szCs w:val="24"/>
        </w:rPr>
        <w:t>日历天；设备安装工期：从具备安装条件起在</w:t>
      </w:r>
      <w:r>
        <w:rPr>
          <w:rFonts w:ascii="宋体" w:hAnsi="宋体" w:eastAsia="宋体" w:cs="宋体"/>
          <w:color w:val="000000"/>
          <w:kern w:val="0"/>
          <w:sz w:val="24"/>
          <w:szCs w:val="24"/>
        </w:rPr>
        <w:t>6</w:t>
      </w:r>
      <w:r>
        <w:rPr>
          <w:rFonts w:hint="eastAsia" w:ascii="宋体" w:hAnsi="宋体" w:eastAsia="宋体" w:cs="宋体"/>
          <w:color w:val="000000"/>
          <w:kern w:val="0"/>
          <w:sz w:val="24"/>
          <w:szCs w:val="24"/>
        </w:rPr>
        <w:t>0日历天安装、调试完毕并能正常运行。具体开工时间或分批次安装开工日期以招标人通知为准。</w:t>
      </w:r>
    </w:p>
    <w:p>
      <w:pPr>
        <w:spacing w:line="480" w:lineRule="exact"/>
        <w:ind w:firstLine="482" w:firstLineChars="200"/>
        <w:rPr>
          <w:rFonts w:ascii="宋体" w:hAnsi="宋体" w:eastAsia="宋体" w:cs="宋体"/>
          <w:color w:val="000000"/>
          <w:kern w:val="0"/>
          <w:sz w:val="24"/>
          <w:szCs w:val="24"/>
        </w:rPr>
      </w:pPr>
      <w:r>
        <w:rPr>
          <w:rFonts w:hint="eastAsia" w:ascii="宋体" w:hAnsi="宋体" w:eastAsia="宋体" w:cs="宋体"/>
          <w:b/>
          <w:color w:val="000000"/>
          <w:kern w:val="0"/>
          <w:sz w:val="24"/>
          <w:szCs w:val="24"/>
        </w:rPr>
        <w:t>三、质量标准：</w:t>
      </w:r>
      <w:r>
        <w:rPr>
          <w:rFonts w:hint="eastAsia" w:ascii="宋体" w:hAnsi="宋体" w:eastAsia="宋体" w:cs="宋体"/>
          <w:color w:val="000000"/>
          <w:kern w:val="0"/>
          <w:sz w:val="24"/>
          <w:szCs w:val="24"/>
        </w:rPr>
        <w:t>达到国家现行施工验收规范合格标准。</w:t>
      </w:r>
    </w:p>
    <w:p>
      <w:pPr>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四、合同价款</w:t>
      </w:r>
    </w:p>
    <w:p>
      <w:pPr>
        <w:spacing w:line="360" w:lineRule="auto"/>
        <w:ind w:firstLine="600" w:firstLineChars="250"/>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（一）合同金额为人民币               元（大写：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 xml:space="preserve">         ），此价格为含税价格，含税税率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。承包人纳税人类别：</w:t>
      </w:r>
      <w:bookmarkStart w:id="225" w:name="EBb9faf14a28514ffdbed6b61c222238d2"/>
      <w:r>
        <w:rPr>
          <w:rFonts w:hint="eastAsia" w:ascii="宋体" w:hAnsi="宋体" w:eastAsia="宋体" w:cs="宋体"/>
          <w:color w:val="000000"/>
          <w:kern w:val="0"/>
          <w:sz w:val="24"/>
          <w:szCs w:val="24"/>
        </w:rPr>
        <w:t xml:space="preserve">  </w:t>
      </w:r>
      <w:bookmarkEnd w:id="225"/>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。电表等</w:t>
      </w:r>
      <w:r>
        <w:rPr>
          <w:rFonts w:ascii="宋体" w:hAnsi="宋体" w:eastAsia="宋体" w:cs="宋体"/>
          <w:color w:val="000000"/>
          <w:kern w:val="0"/>
          <w:sz w:val="24"/>
          <w:szCs w:val="24"/>
        </w:rPr>
        <w:t>主要设备</w:t>
      </w:r>
      <w:r>
        <w:rPr>
          <w:rFonts w:hint="eastAsia" w:ascii="宋体" w:hAnsi="宋体" w:eastAsia="宋体" w:cs="宋体"/>
          <w:color w:val="000000"/>
          <w:kern w:val="0"/>
          <w:sz w:val="24"/>
          <w:szCs w:val="24"/>
        </w:rPr>
        <w:t>按照甲方</w:t>
      </w:r>
      <w:r>
        <w:rPr>
          <w:rFonts w:ascii="宋体" w:hAnsi="宋体" w:eastAsia="宋体" w:cs="宋体"/>
          <w:color w:val="000000"/>
          <w:kern w:val="0"/>
          <w:sz w:val="24"/>
          <w:szCs w:val="24"/>
        </w:rPr>
        <w:t>书面通知的采购数量</w:t>
      </w:r>
      <w:r>
        <w:rPr>
          <w:rFonts w:hint="eastAsia" w:ascii="宋体" w:hAnsi="宋体" w:eastAsia="宋体" w:cs="宋体"/>
          <w:color w:val="000000"/>
          <w:kern w:val="0"/>
          <w:sz w:val="24"/>
          <w:szCs w:val="24"/>
        </w:rPr>
        <w:t>安装，据实结算</w:t>
      </w:r>
      <w:r>
        <w:rPr>
          <w:rFonts w:ascii="宋体" w:hAnsi="宋体" w:eastAsia="宋体" w:cs="宋体"/>
          <w:color w:val="000000"/>
          <w:kern w:val="0"/>
          <w:sz w:val="24"/>
          <w:szCs w:val="24"/>
        </w:rPr>
        <w:t>。</w:t>
      </w:r>
    </w:p>
    <w:p>
      <w:pPr>
        <w:spacing w:line="360" w:lineRule="auto"/>
        <w:ind w:firstLine="600" w:firstLineChars="250"/>
        <w:rPr>
          <w:rFonts w:ascii="宋体" w:hAnsi="宋体" w:eastAsia="宋体" w:cs="宋体"/>
          <w:color w:val="000000"/>
          <w:kern w:val="0"/>
          <w:sz w:val="24"/>
          <w:szCs w:val="24"/>
        </w:rPr>
      </w:pPr>
      <w:r>
        <w:rPr>
          <w:rFonts w:hint="eastAsia" w:ascii="宋体" w:hAnsi="宋体" w:eastAsia="宋体" w:cs="宋体"/>
          <w:color w:val="000000"/>
          <w:kern w:val="0"/>
          <w:sz w:val="24"/>
          <w:szCs w:val="24"/>
        </w:rPr>
        <w:t>（二）合同价格形式：全费用综合单价。该单价包含完成一个规定清单项目所需的人工费、材料费、施工机具使用费、企业管理费、利润、</w:t>
      </w:r>
      <w:r>
        <w:rPr>
          <w:rFonts w:ascii="宋体" w:hAnsi="宋体" w:eastAsia="宋体" w:cs="宋体"/>
          <w:color w:val="000000"/>
          <w:kern w:val="0"/>
          <w:sz w:val="24"/>
          <w:szCs w:val="24"/>
        </w:rPr>
        <w:t>措施费、规费、税金</w:t>
      </w:r>
      <w:r>
        <w:rPr>
          <w:rFonts w:hint="eastAsia" w:ascii="宋体" w:hAnsi="宋体" w:eastAsia="宋体" w:cs="宋体"/>
          <w:color w:val="000000"/>
          <w:kern w:val="0"/>
          <w:sz w:val="24"/>
          <w:szCs w:val="24"/>
        </w:rPr>
        <w:t>以及招标文件、合同约定范围内的风险费用等</w:t>
      </w:r>
      <w:r>
        <w:rPr>
          <w:rFonts w:ascii="宋体" w:hAnsi="宋体" w:eastAsia="宋体" w:cs="宋体"/>
          <w:color w:val="000000"/>
          <w:kern w:val="0"/>
          <w:sz w:val="24"/>
          <w:szCs w:val="24"/>
        </w:rPr>
        <w:t>全部</w:t>
      </w:r>
      <w:r>
        <w:rPr>
          <w:rFonts w:hint="eastAsia" w:ascii="宋体" w:hAnsi="宋体" w:eastAsia="宋体" w:cs="宋体"/>
          <w:color w:val="000000"/>
          <w:kern w:val="0"/>
          <w:sz w:val="24"/>
          <w:szCs w:val="24"/>
        </w:rPr>
        <w:t>费用。</w:t>
      </w:r>
    </w:p>
    <w:p>
      <w:pPr>
        <w:pStyle w:val="211"/>
        <w:autoSpaceDE w:val="0"/>
        <w:autoSpaceDN w:val="0"/>
        <w:adjustRightInd w:val="0"/>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五、款项支付</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（一）甲方应在合同签订之日起七个工作日内支付本合同总价款的</w:t>
      </w:r>
      <w:r>
        <w:rPr>
          <w:rFonts w:ascii="宋体" w:hAnsi="宋体" w:eastAsia="宋体" w:cs="宋体"/>
          <w:color w:val="000000"/>
          <w:kern w:val="0"/>
          <w:sz w:val="24"/>
          <w:szCs w:val="24"/>
        </w:rPr>
        <w:t>10</w:t>
      </w:r>
      <w:r>
        <w:rPr>
          <w:rFonts w:hint="eastAsia" w:ascii="宋体" w:hAnsi="宋体" w:eastAsia="宋体" w:cs="宋体"/>
          <w:color w:val="000000"/>
          <w:kern w:val="0"/>
          <w:sz w:val="24"/>
          <w:szCs w:val="24"/>
        </w:rPr>
        <w:t>%（第一期款，在第二期款扣回预付款的</w:t>
      </w:r>
      <w:r>
        <w:rPr>
          <w:rFonts w:ascii="宋体" w:hAnsi="宋体" w:eastAsia="宋体" w:cs="宋体"/>
          <w:color w:val="000000"/>
          <w:kern w:val="0"/>
          <w:sz w:val="24"/>
          <w:szCs w:val="24"/>
        </w:rPr>
        <w:t>30</w:t>
      </w:r>
      <w:r>
        <w:rPr>
          <w:rFonts w:hint="eastAsia" w:ascii="宋体" w:hAnsi="宋体" w:eastAsia="宋体" w:cs="宋体"/>
          <w:color w:val="000000"/>
          <w:kern w:val="0"/>
          <w:sz w:val="24"/>
          <w:szCs w:val="24"/>
        </w:rPr>
        <w:t>%，在第三期款扣回预付款的</w:t>
      </w:r>
      <w:r>
        <w:rPr>
          <w:rFonts w:ascii="宋体" w:hAnsi="宋体" w:eastAsia="宋体" w:cs="宋体"/>
          <w:color w:val="000000"/>
          <w:kern w:val="0"/>
          <w:sz w:val="24"/>
          <w:szCs w:val="24"/>
        </w:rPr>
        <w:t>30</w:t>
      </w:r>
      <w:r>
        <w:rPr>
          <w:rFonts w:hint="eastAsia" w:ascii="宋体" w:hAnsi="宋体" w:eastAsia="宋体" w:cs="宋体"/>
          <w:color w:val="000000"/>
          <w:kern w:val="0"/>
          <w:sz w:val="24"/>
          <w:szCs w:val="24"/>
        </w:rPr>
        <w:t>%，在第四期款扣回预付款的</w:t>
      </w:r>
      <w:r>
        <w:rPr>
          <w:rFonts w:ascii="宋体" w:hAnsi="宋体" w:eastAsia="宋体" w:cs="宋体"/>
          <w:color w:val="000000"/>
          <w:kern w:val="0"/>
          <w:sz w:val="24"/>
          <w:szCs w:val="24"/>
        </w:rPr>
        <w:t>40</w:t>
      </w:r>
      <w:r>
        <w:rPr>
          <w:rFonts w:hint="eastAsia" w:ascii="宋体" w:hAnsi="宋体" w:eastAsia="宋体" w:cs="宋体"/>
          <w:color w:val="000000"/>
          <w:kern w:val="0"/>
          <w:sz w:val="24"/>
          <w:szCs w:val="24"/>
        </w:rPr>
        <w:t>%）人民币</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元整(大写：</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)，直接付给本合同乙方指定帐户。</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（二）甲方应在智能用电管理系统上线并通过验收之日起七个工作日内支付管理系统中标价的8</w:t>
      </w:r>
      <w:r>
        <w:rPr>
          <w:rFonts w:ascii="宋体" w:hAnsi="宋体" w:eastAsia="宋体" w:cs="宋体"/>
          <w:color w:val="000000"/>
          <w:kern w:val="0"/>
          <w:sz w:val="24"/>
          <w:szCs w:val="24"/>
        </w:rPr>
        <w:t>0</w:t>
      </w:r>
      <w:r>
        <w:rPr>
          <w:rFonts w:hint="eastAsia" w:ascii="宋体" w:hAnsi="宋体" w:eastAsia="宋体" w:cs="宋体"/>
          <w:color w:val="000000"/>
          <w:kern w:val="0"/>
          <w:sz w:val="24"/>
          <w:szCs w:val="24"/>
        </w:rPr>
        <w:t>%（第二期款），直接付给本合同乙方指定帐户。</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（三）智能电表（按</w:t>
      </w:r>
      <w:r>
        <w:rPr>
          <w:rFonts w:ascii="宋体" w:hAnsi="宋体" w:eastAsia="宋体" w:cs="宋体"/>
          <w:color w:val="000000"/>
          <w:kern w:val="0"/>
          <w:sz w:val="24"/>
          <w:szCs w:val="24"/>
        </w:rPr>
        <w:t>甲方</w:t>
      </w:r>
      <w:r>
        <w:rPr>
          <w:rFonts w:hint="eastAsia" w:ascii="宋体" w:hAnsi="宋体" w:eastAsia="宋体" w:cs="宋体"/>
          <w:color w:val="000000"/>
          <w:kern w:val="0"/>
          <w:sz w:val="24"/>
          <w:szCs w:val="24"/>
        </w:rPr>
        <w:t>书面</w:t>
      </w:r>
      <w:r>
        <w:rPr>
          <w:rFonts w:ascii="宋体" w:hAnsi="宋体" w:eastAsia="宋体" w:cs="宋体"/>
          <w:color w:val="000000"/>
          <w:kern w:val="0"/>
          <w:sz w:val="24"/>
          <w:szCs w:val="24"/>
        </w:rPr>
        <w:t>通知</w:t>
      </w:r>
      <w:r>
        <w:rPr>
          <w:rFonts w:hint="eastAsia" w:ascii="宋体" w:hAnsi="宋体" w:eastAsia="宋体" w:cs="宋体"/>
          <w:color w:val="000000"/>
          <w:kern w:val="0"/>
          <w:sz w:val="24"/>
          <w:szCs w:val="24"/>
        </w:rPr>
        <w:t>的</w:t>
      </w:r>
      <w:r>
        <w:rPr>
          <w:rFonts w:ascii="宋体" w:hAnsi="宋体" w:eastAsia="宋体" w:cs="宋体"/>
          <w:color w:val="000000"/>
          <w:kern w:val="0"/>
          <w:sz w:val="24"/>
          <w:szCs w:val="24"/>
        </w:rPr>
        <w:t>采购数量</w:t>
      </w:r>
      <w:r>
        <w:rPr>
          <w:rFonts w:hint="eastAsia" w:ascii="宋体" w:hAnsi="宋体" w:eastAsia="宋体" w:cs="宋体"/>
          <w:color w:val="000000"/>
          <w:kern w:val="0"/>
          <w:sz w:val="24"/>
          <w:szCs w:val="24"/>
        </w:rPr>
        <w:t>）到达改造</w:t>
      </w:r>
      <w:r>
        <w:rPr>
          <w:rFonts w:ascii="宋体" w:hAnsi="宋体" w:eastAsia="宋体" w:cs="宋体"/>
          <w:color w:val="000000"/>
          <w:kern w:val="0"/>
          <w:sz w:val="24"/>
          <w:szCs w:val="24"/>
        </w:rPr>
        <w:t>现场，经甲方验收合格后</w:t>
      </w:r>
      <w:r>
        <w:rPr>
          <w:rFonts w:hint="eastAsia" w:ascii="宋体" w:hAnsi="宋体" w:eastAsia="宋体" w:cs="宋体"/>
          <w:color w:val="000000"/>
          <w:kern w:val="0"/>
          <w:sz w:val="24"/>
          <w:szCs w:val="24"/>
        </w:rPr>
        <w:t>七个工作日内支付实际采购金额的8</w:t>
      </w:r>
      <w:r>
        <w:rPr>
          <w:rFonts w:ascii="宋体" w:hAnsi="宋体" w:eastAsia="宋体" w:cs="宋体"/>
          <w:color w:val="000000"/>
          <w:kern w:val="0"/>
          <w:sz w:val="24"/>
          <w:szCs w:val="24"/>
        </w:rPr>
        <w:t>0</w:t>
      </w:r>
      <w:r>
        <w:rPr>
          <w:rFonts w:hint="eastAsia" w:ascii="宋体" w:hAnsi="宋体" w:eastAsia="宋体" w:cs="宋体"/>
          <w:color w:val="000000"/>
          <w:kern w:val="0"/>
          <w:sz w:val="24"/>
          <w:szCs w:val="24"/>
        </w:rPr>
        <w:t>%（第三期款），直接付给本合同乙方指定帐户。</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（四）甲方应在智能用电设施设备全部安装完成并通过验收之日起七个工作日内累计支付至实际完成工作量的8</w:t>
      </w:r>
      <w:r>
        <w:rPr>
          <w:rFonts w:ascii="宋体" w:hAnsi="宋体" w:eastAsia="宋体" w:cs="宋体"/>
          <w:color w:val="000000"/>
          <w:kern w:val="0"/>
          <w:sz w:val="24"/>
          <w:szCs w:val="24"/>
        </w:rPr>
        <w:t>0</w:t>
      </w:r>
      <w:r>
        <w:rPr>
          <w:rFonts w:hint="eastAsia" w:ascii="宋体" w:hAnsi="宋体" w:eastAsia="宋体" w:cs="宋体"/>
          <w:color w:val="000000"/>
          <w:kern w:val="0"/>
          <w:sz w:val="24"/>
          <w:szCs w:val="24"/>
        </w:rPr>
        <w:t>%（第四期款），直接付给本合同乙方指定帐户。</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（五）支付经结算审核金额的9</w:t>
      </w:r>
      <w:r>
        <w:rPr>
          <w:rFonts w:ascii="宋体" w:hAnsi="宋体" w:eastAsia="宋体" w:cs="宋体"/>
          <w:color w:val="000000"/>
          <w:kern w:val="0"/>
          <w:sz w:val="24"/>
          <w:szCs w:val="24"/>
        </w:rPr>
        <w:t>7</w:t>
      </w:r>
      <w:r>
        <w:rPr>
          <w:rFonts w:hint="eastAsia" w:ascii="宋体" w:hAnsi="宋体" w:eastAsia="宋体" w:cs="宋体"/>
          <w:color w:val="000000"/>
          <w:kern w:val="0"/>
          <w:sz w:val="24"/>
          <w:szCs w:val="24"/>
        </w:rPr>
        <w:t>%（第四期款），剩余3%作为质保金，项目整体验收合格之日起1年内无质量问题，付清全部余款。</w:t>
      </w:r>
    </w:p>
    <w:p>
      <w:pPr>
        <w:pStyle w:val="211"/>
        <w:autoSpaceDE w:val="0"/>
        <w:autoSpaceDN w:val="0"/>
        <w:adjustRightInd w:val="0"/>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六、项目经理：</w:t>
      </w:r>
    </w:p>
    <w:p>
      <w:pPr>
        <w:pStyle w:val="211"/>
        <w:autoSpaceDE w:val="0"/>
        <w:autoSpaceDN w:val="0"/>
        <w:adjustRightInd w:val="0"/>
        <w:spacing w:line="480" w:lineRule="exact"/>
        <w:ind w:firstLine="480" w:firstLineChars="200"/>
        <w:rPr>
          <w:rFonts w:ascii="宋体" w:hAnsi="宋体" w:eastAsia="宋体" w:cs="宋体"/>
          <w:color w:val="000000"/>
          <w:kern w:val="0"/>
          <w:sz w:val="24"/>
          <w:szCs w:val="24"/>
          <w:u w:val="single"/>
        </w:rPr>
      </w:pPr>
      <w:r>
        <w:rPr>
          <w:rFonts w:hint="eastAsia" w:ascii="宋体" w:hAnsi="宋体" w:eastAsia="宋体" w:cs="宋体"/>
          <w:color w:val="000000"/>
          <w:kern w:val="0"/>
          <w:sz w:val="24"/>
          <w:szCs w:val="24"/>
        </w:rPr>
        <w:t>乙方项目经理：</w:t>
      </w:r>
      <w:r>
        <w:rPr>
          <w:rFonts w:hint="eastAsia" w:ascii="宋体" w:hAnsi="宋体" w:eastAsia="宋体" w:cs="宋体"/>
          <w:color w:val="000000"/>
          <w:kern w:val="0"/>
          <w:sz w:val="24"/>
          <w:szCs w:val="24"/>
          <w:u w:val="single"/>
        </w:rPr>
        <w:t xml:space="preserve">   </w:t>
      </w:r>
      <w:r>
        <w:rPr>
          <w:rFonts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七、合同文件构成</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本协议书与下列文件一起构成合同文件：1）招标文件及其补充通知、答疑纪要；2）合同条款；3）投标人提交的投标文件和投标报价；4）工程量清单；5）技术标准和要求（包括图纸，如果有的话）；6）中标通知书；7）其他合同文件。在合同订立及履行过程中形成的与合同有关的文件均构成合同文件组成部分。上述各项合同文件包括合同当事人就该项合同文件所作出的补充和修改，属于同一类内容的文件，应以最新签署的为准。专用合同条款及其附件须经合同当事人签字或盖章。</w:t>
      </w:r>
    </w:p>
    <w:p>
      <w:pPr>
        <w:pStyle w:val="211"/>
        <w:spacing w:line="480" w:lineRule="exact"/>
        <w:ind w:firstLine="482" w:firstLineChars="200"/>
        <w:rPr>
          <w:rFonts w:ascii="宋体" w:hAnsi="宋体" w:eastAsia="宋体" w:cs="宋体"/>
          <w:b/>
          <w:color w:val="000000"/>
          <w:kern w:val="0"/>
          <w:sz w:val="24"/>
          <w:szCs w:val="24"/>
        </w:rPr>
      </w:pPr>
      <w:r>
        <w:rPr>
          <w:rFonts w:ascii="宋体" w:hAnsi="宋体" w:eastAsia="宋体" w:cs="宋体"/>
          <w:b/>
          <w:color w:val="000000"/>
          <w:kern w:val="0"/>
          <w:sz w:val="24"/>
          <w:szCs w:val="24"/>
        </w:rPr>
        <w:t>八</w:t>
      </w:r>
      <w:r>
        <w:rPr>
          <w:rFonts w:hint="eastAsia" w:ascii="宋体" w:hAnsi="宋体" w:eastAsia="宋体" w:cs="宋体"/>
          <w:b/>
          <w:color w:val="000000"/>
          <w:kern w:val="0"/>
          <w:sz w:val="24"/>
          <w:szCs w:val="24"/>
        </w:rPr>
        <w:t>、</w:t>
      </w:r>
      <w:r>
        <w:rPr>
          <w:rFonts w:ascii="宋体" w:hAnsi="宋体" w:eastAsia="宋体" w:cs="宋体"/>
          <w:b/>
          <w:color w:val="000000"/>
          <w:kern w:val="0"/>
          <w:sz w:val="24"/>
          <w:szCs w:val="24"/>
        </w:rPr>
        <w:t>系统开发</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（一）产品保证。</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乙方保证交付的软件均符合投标文件所述功能，并由软件验收测试的成功完成予以证明。验收测试的成功完成应被视为该许可软件能达到说明书和使用手册所述功能的决定性证据。</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如果许可软件未能按照项目招标采购需求要求的功能运行，乙方应负责对许可软件进行修正或者在不能修正的情况下，免费为甲方更换符合规定的许可软件。如果上述二种方法均不可行，甲方有权终止许可软件不符合规定部分的使用许可，并由乙方返还甲方已经支付该部分的使用许可费。</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自合同验收合格之日起一年内，许可软件的载体（磁盘或光盘）、加密附件出现物理损坏，乙方可根据甲方的书面要求给予免费修正或更换。</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（二）系统实施与技术支持、维护服务。</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甲方应按照本合同的约定提供本项目实施服务的必要条件与准备，包括但不限于免费为乙方实施服务人员提供工作场所，并保证其可利用适当的甲方的计算机资源和办公环境，如电话、传真以及其它双方一致同意的作为该等实施服务人员执行本合同项下的工作所必需的办公室设备和材料。</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甲方应及时向乙方免费提供所有双方一致同意的本合同约定的实施服务所必要的技术数据、计算机设备、文档、文件、测试数据、示例输出，或其它信息和资源。甲方应对其提供的所有该类数据、材料以及信息内容的准确性、完整性和统一性负责，并承担由此产生的任何问题的责任。乙方应对甲方数据履行保密义务，并承担由此产生的任何问题的责任。</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3.</w:t>
      </w:r>
      <w:r>
        <w:rPr>
          <w:rFonts w:hint="eastAsia" w:ascii="宋体" w:hAnsi="宋体" w:eastAsia="宋体" w:cs="宋体"/>
          <w:color w:val="000000"/>
          <w:kern w:val="0"/>
          <w:sz w:val="24"/>
          <w:szCs w:val="24"/>
        </w:rPr>
        <w:t>甲方须指定相关项目经理与乙方技术人员协调所有项目的服务，并负责作好必要的内部安排，以便于项目的顺利开展。在项目实施服务过程中，甲方应保证其项目组成员的相对稳定。如果因甲方人员变动导致本合同所述实施服务延误或增加乙方的工作量，乙方对此延误不承担责任，并有权要求甲方支付乙方因此而增加工作量的相关实施服务费。</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4.</w:t>
      </w:r>
      <w:r>
        <w:rPr>
          <w:rFonts w:hint="eastAsia" w:ascii="宋体" w:hAnsi="宋体" w:eastAsia="宋体" w:cs="宋体"/>
          <w:color w:val="000000"/>
          <w:kern w:val="0"/>
          <w:sz w:val="24"/>
          <w:szCs w:val="24"/>
        </w:rPr>
        <w:t>甲方对乙方指定技术人员的主要工作表现不满意，可立即书面告知乙方，并可要求乙方更换人员，乙方将采取合理措施予以解决。</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5.</w:t>
      </w:r>
      <w:r>
        <w:rPr>
          <w:rFonts w:hint="eastAsia" w:ascii="宋体" w:hAnsi="宋体" w:eastAsia="宋体" w:cs="宋体"/>
          <w:color w:val="000000"/>
          <w:kern w:val="0"/>
          <w:sz w:val="24"/>
          <w:szCs w:val="24"/>
        </w:rPr>
        <w:t>根据本合同约定的费用支付方式，甲方应按时支付乙方相应的软件款及实施服务费。</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6.</w:t>
      </w:r>
      <w:r>
        <w:rPr>
          <w:rFonts w:hint="eastAsia" w:ascii="宋体" w:hAnsi="宋体" w:eastAsia="宋体" w:cs="宋体"/>
          <w:color w:val="000000"/>
          <w:kern w:val="0"/>
          <w:sz w:val="24"/>
          <w:szCs w:val="24"/>
        </w:rPr>
        <w:t>监督乙方在项目质量、培训、服务等方面很好地完成本合同约定的各项条款。</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7.</w:t>
      </w:r>
      <w:r>
        <w:rPr>
          <w:rFonts w:hint="eastAsia" w:ascii="宋体" w:hAnsi="宋体" w:eastAsia="宋体" w:cs="宋体"/>
          <w:color w:val="000000"/>
          <w:kern w:val="0"/>
          <w:sz w:val="24"/>
          <w:szCs w:val="24"/>
        </w:rPr>
        <w:t>乙方将根据本合同的约定向甲方提供实施服务。项目实施过程中，乙方的实施顾问将制定合理的业务解决方案、数据准备方案、业务流程、工作规程和准则，引导甲方进行系统切换并解决切换过程中出现的问题，提供必要的实施文档。在项目实施过程中，乙方同时提供项目管理服务。</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8.</w:t>
      </w:r>
      <w:r>
        <w:rPr>
          <w:rFonts w:hint="eastAsia" w:ascii="宋体" w:hAnsi="宋体" w:eastAsia="宋体" w:cs="宋体"/>
          <w:color w:val="000000"/>
          <w:kern w:val="0"/>
          <w:sz w:val="24"/>
          <w:szCs w:val="24"/>
        </w:rPr>
        <w:t>乙方应根据本合同的要求安排相应的能胜任的技术服务人员。在提供服务过程中，乙方保证其参加本项目的人员的相对稳定。</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9.</w:t>
      </w:r>
      <w:r>
        <w:rPr>
          <w:rFonts w:hint="eastAsia" w:ascii="宋体" w:hAnsi="宋体" w:eastAsia="宋体" w:cs="宋体"/>
          <w:color w:val="000000"/>
          <w:kern w:val="0"/>
          <w:sz w:val="24"/>
          <w:szCs w:val="24"/>
        </w:rPr>
        <w:t>乙方应严格保守甲方的商业秘密。</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10.</w:t>
      </w:r>
      <w:r>
        <w:rPr>
          <w:rFonts w:hint="eastAsia" w:ascii="宋体" w:hAnsi="宋体" w:eastAsia="宋体" w:cs="宋体"/>
          <w:color w:val="000000"/>
          <w:kern w:val="0"/>
          <w:sz w:val="24"/>
          <w:szCs w:val="24"/>
        </w:rPr>
        <w:t>乙方向甲方提供合同验收合格之日起软件系统一年的免费技术支持、维护服务。</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11、乙方应保证向甲方提供的合同中开发的软件系统的网络访问安全，如因软件系统漏洞给甲方造成的损失，由乙方承担，并向甲方提供漏洞的应急机制及解决方案。</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（三）验收与确认。</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甲方对产品外部瑕疵的异议，应在收到该许可软件之日内以书面形式提出。</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乙方应按照项目招标采购需求，进行详细需求调研匹配，项目实施及测试，同时根据项目阶段，出具项目需求报告、实施方案，确保项目按实施计划进行上线。</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3.</w:t>
      </w:r>
      <w:r>
        <w:rPr>
          <w:rFonts w:hint="eastAsia" w:ascii="宋体" w:hAnsi="宋体" w:eastAsia="宋体" w:cs="宋体"/>
          <w:color w:val="000000"/>
          <w:kern w:val="0"/>
          <w:sz w:val="24"/>
          <w:szCs w:val="24"/>
        </w:rPr>
        <w:t>乙方应按照项目实施方案，进行项目验收，验收测试合格后，甲方和乙方代表共同在验收合格证明书上签字，甲方同时加盖公章。</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（四）软件著作权。</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乙方保证甲方所购软件是正版和具有合法版权来源，乙方为本软件版权所有者合法授权的代理商，乙方有责任出示一切相关的证明材料给甲方。乙方保证本合同标的软件产品的出卖不侵犯第三人版权，如因为版权及相关事宜导致第三人追究或索赔，由乙方负全部责任并对甲方因此而受到的损失予以赔偿。</w:t>
      </w:r>
    </w:p>
    <w:p>
      <w:pPr>
        <w:pStyle w:val="211"/>
        <w:spacing w:line="480" w:lineRule="exact"/>
        <w:ind w:firstLine="482" w:firstLineChars="200"/>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（五）接口对接、系统搭建。</w:t>
      </w:r>
    </w:p>
    <w:p>
      <w:pPr>
        <w:pStyle w:val="211"/>
        <w:spacing w:line="480" w:lineRule="exact"/>
        <w:ind w:firstLine="480" w:firstLineChars="200"/>
        <w:rPr>
          <w:rFonts w:ascii="宋体" w:hAnsi="宋体" w:eastAsia="宋体" w:cs="宋体"/>
          <w:bCs/>
          <w:color w:val="000000"/>
          <w:kern w:val="0"/>
          <w:sz w:val="24"/>
          <w:szCs w:val="24"/>
        </w:rPr>
      </w:pPr>
      <w:r>
        <w:rPr>
          <w:rFonts w:ascii="宋体" w:hAnsi="宋体" w:eastAsia="宋体" w:cs="宋体"/>
          <w:bCs/>
          <w:color w:val="000000"/>
          <w:kern w:val="0"/>
          <w:sz w:val="24"/>
          <w:szCs w:val="24"/>
        </w:rPr>
        <w:t>1.</w:t>
      </w:r>
      <w:r>
        <w:rPr>
          <w:rFonts w:hint="eastAsia" w:ascii="宋体" w:hAnsi="宋体" w:eastAsia="宋体" w:cs="宋体"/>
          <w:bCs/>
          <w:color w:val="000000"/>
          <w:kern w:val="0"/>
          <w:sz w:val="24"/>
          <w:szCs w:val="24"/>
        </w:rPr>
        <w:t>与甲方现有的物业租赁系统对接，实现电表档案自动同步。与甲方现有物业租赁系统对接实现缴费时，获取电表状态信息，实现承租户手机自助缴费控制及状态消息反馈。乙方应积极与甲方配合完成接口对接和系统搭建，在响应的时间期限内完成工作任务。</w:t>
      </w:r>
    </w:p>
    <w:p>
      <w:pPr>
        <w:pStyle w:val="211"/>
        <w:spacing w:line="480" w:lineRule="exact"/>
        <w:ind w:firstLine="480" w:firstLineChars="200"/>
        <w:rPr>
          <w:rFonts w:ascii="宋体" w:hAnsi="宋体" w:eastAsia="宋体" w:cs="宋体"/>
          <w:bCs/>
          <w:color w:val="000000"/>
          <w:kern w:val="0"/>
          <w:sz w:val="24"/>
          <w:szCs w:val="24"/>
        </w:rPr>
      </w:pPr>
      <w:r>
        <w:rPr>
          <w:rFonts w:ascii="宋体" w:hAnsi="宋体" w:eastAsia="宋体" w:cs="宋体"/>
          <w:bCs/>
          <w:color w:val="000000"/>
          <w:kern w:val="0"/>
          <w:sz w:val="24"/>
          <w:szCs w:val="24"/>
        </w:rPr>
        <w:t>2.</w:t>
      </w:r>
      <w:r>
        <w:rPr>
          <w:rFonts w:hint="eastAsia" w:ascii="宋体" w:hAnsi="宋体" w:eastAsia="宋体" w:cs="宋体"/>
          <w:bCs/>
          <w:color w:val="000000"/>
          <w:kern w:val="0"/>
          <w:sz w:val="24"/>
          <w:szCs w:val="24"/>
        </w:rPr>
        <w:t>本次用电系统改造，要求所有数据库及应用系统全部本地部署，甲方提供X86构架服务器及相应的网络机房设备。系统除满足以上需求外，还需满足二次开发的便利及对接甲方现有OA系统（物业租赁系统）的需求。</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九、设施设备</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（一）交货及验收</w:t>
      </w:r>
    </w:p>
    <w:p>
      <w:pPr>
        <w:pStyle w:val="211"/>
        <w:spacing w:line="480" w:lineRule="exact"/>
        <w:ind w:firstLine="480" w:firstLineChars="200"/>
        <w:rPr>
          <w:rFonts w:ascii="宋体" w:hAnsi="宋体" w:eastAsia="宋体" w:cs="宋体"/>
          <w:b/>
          <w:color w:val="000000"/>
          <w:kern w:val="0"/>
          <w:sz w:val="24"/>
          <w:szCs w:val="24"/>
        </w:rPr>
      </w:pP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主要设施设备订货前先向甲方报送相关样品及资料（电表合格证、电表产品说明书），经甲方书面同意后订货，</w:t>
      </w:r>
      <w:r>
        <w:rPr>
          <w:rFonts w:hint="eastAsia" w:ascii="宋体" w:hAnsi="宋体" w:eastAsia="宋体" w:cs="宋体"/>
          <w:b/>
          <w:color w:val="000000"/>
          <w:kern w:val="0"/>
          <w:sz w:val="24"/>
          <w:szCs w:val="24"/>
        </w:rPr>
        <w:t>订货数量以甲方书面通知为准</w:t>
      </w:r>
      <w:r>
        <w:rPr>
          <w:rFonts w:hint="eastAsia" w:ascii="宋体" w:hAnsi="宋体" w:eastAsia="宋体" w:cs="宋体"/>
          <w:color w:val="000000"/>
          <w:kern w:val="0"/>
          <w:sz w:val="24"/>
          <w:szCs w:val="24"/>
        </w:rPr>
        <w:t>。</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交货期：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1）具体时间根据甲方认可的安装计划分期分批地转运到安装现场交货，交货时间根据土建进度，双方书面确认（具体交货时间以乙方提前60天的书面通知为准），乙方承诺：不会因为甲方变更交货期而提出追加合同外其他费用；运输途中及货物安装验收合格并交付前毁损、灭失的法律风险由供货方承担。</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（2）若因甲方的原因不具备设备安装条件，由甲方代以书面形式提前20天以上通知乙方推迟安装，并由乙方继续负责在到货地点妥善保管，乙方承诺：不会因为甲方推迟安装而提出追加合同外其他费用。</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3）乙方在投标书中所列设备的名称、型号应与安装施工中实际使用的设备完全一致，需原封包装。如发现实物与投标报价书等资料不符，甲方有权要求退货，乙方承担由此引起的违约责任。如发现实物不符合质量要求或破裂、损坏等情况由乙方负责调换或补足，但不得影响工期。在合同期内如甲方提出产品增减或调换，乙方负责办理，差价按报价中的单价结合数量据实调整。</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（4）乙方提供的产品的包装需用防潮、防高温、防腐，如导致设备不能正常安装或出现由于上述原因导致的质量问题，其责任由供方负责，乙方应在规定时间内免费更换。</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（5）货物到现场后至竣工并交付甲方前的保护、保管工作由乙方负责，费用含在合同价中。</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6）合同签订后5日内，甲乙双方办理有关施工现场参数的技术交底并交付相关图纸，至此，视为乙方已经完全掌握、知悉涉及相关参数（尺寸）；同时，视为乙方认同相关参数（尺寸）符合其所供电设备参数（尺寸）；如甲方现场条件有不满足设备规范要求需修改和变更的，乙方应及时向甲方提出，以便甲方修改和变更，合同签订后10日内，乙方确认施工现场相关尺寸及参数，否则，因参数（尺寸）不匹配发生土建施工二次返工，损失由乙方据实赔付。</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甲方在每批次交货日前三十日内将标准告知乙方，如选择的设备或材料不在标准配置内，按乙方投标书报送价格重新签订补充合同。</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（7）交货时间顺延：甲方未按照本合同约定按期履行付款义务。</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（8）交货地点：招标人指定地点。</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3.</w:t>
      </w:r>
      <w:r>
        <w:rPr>
          <w:rFonts w:hint="eastAsia" w:ascii="宋体" w:hAnsi="宋体" w:eastAsia="宋体" w:cs="宋体"/>
          <w:color w:val="000000"/>
          <w:kern w:val="0"/>
          <w:sz w:val="24"/>
          <w:szCs w:val="24"/>
        </w:rPr>
        <w:t>中转运输：乙方负责按甲方认可的安装计划安全转运到安装现场卸车、开箱验收及工地保管，费用由乙方承担。</w:t>
      </w:r>
    </w:p>
    <w:p>
      <w:pPr>
        <w:pStyle w:val="211"/>
        <w:spacing w:line="480" w:lineRule="exact"/>
        <w:ind w:firstLine="480" w:firstLineChars="200"/>
        <w:rPr>
          <w:rFonts w:ascii="宋体" w:hAnsi="宋体" w:eastAsia="宋体" w:cs="宋体"/>
          <w:kern w:val="0"/>
          <w:sz w:val="24"/>
          <w:szCs w:val="24"/>
        </w:rPr>
      </w:pPr>
      <w:r>
        <w:rPr>
          <w:rFonts w:ascii="宋体" w:hAnsi="宋体" w:eastAsia="宋体" w:cs="宋体"/>
          <w:kern w:val="0"/>
          <w:sz w:val="24"/>
          <w:szCs w:val="24"/>
        </w:rPr>
        <w:t>4.</w:t>
      </w:r>
      <w:r>
        <w:rPr>
          <w:rFonts w:hint="eastAsia" w:ascii="宋体" w:hAnsi="宋体" w:eastAsia="宋体" w:cs="宋体"/>
          <w:kern w:val="0"/>
          <w:sz w:val="24"/>
          <w:szCs w:val="24"/>
        </w:rPr>
        <w:t>设备材料验收：</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（1）货物到达交货安装地后，乙方代表和甲方代表应及时进行验收。</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（2）乙方负责对设备进行收货查验、现场保管、后续安装调试服务；对到货数量和质量、型号负有完全的核查责任；</w:t>
      </w:r>
      <w:r>
        <w:rPr>
          <w:rFonts w:hint="eastAsia" w:ascii="宋体" w:hAnsi="宋体" w:eastAsia="宋体" w:cs="宋体"/>
          <w:bCs/>
          <w:color w:val="000000"/>
          <w:kern w:val="0"/>
          <w:sz w:val="24"/>
          <w:szCs w:val="24"/>
        </w:rPr>
        <w:t>甲方</w:t>
      </w:r>
      <w:r>
        <w:rPr>
          <w:rFonts w:hint="eastAsia" w:ascii="宋体" w:hAnsi="宋体" w:eastAsia="宋体" w:cs="宋体"/>
          <w:color w:val="000000"/>
          <w:kern w:val="0"/>
          <w:sz w:val="24"/>
          <w:szCs w:val="24"/>
        </w:rPr>
        <w:t>有权对到货设备核查、监督其保管和安装调试全过程；设备在安装完毕验收合格并移交前，其完好状况、数量和质量状况、一切损坏或者灭失风险均由乙方自行承担。</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3</w:t>
      </w:r>
      <w:r>
        <w:rPr>
          <w:rFonts w:hint="eastAsia" w:ascii="宋体" w:hAnsi="宋体" w:eastAsia="宋体" w:cs="宋体"/>
          <w:color w:val="000000"/>
          <w:kern w:val="0"/>
          <w:sz w:val="24"/>
          <w:szCs w:val="24"/>
        </w:rPr>
        <w:t>）甲方提出开箱检验索赔不能迟于合同设备交货（到达安装工地）之日起</w:t>
      </w:r>
      <w:r>
        <w:rPr>
          <w:rFonts w:ascii="宋体" w:hAnsi="宋体" w:eastAsia="宋体" w:cs="宋体"/>
          <w:color w:val="000000"/>
          <w:kern w:val="0"/>
          <w:sz w:val="24"/>
          <w:szCs w:val="24"/>
        </w:rPr>
        <w:t>3</w:t>
      </w:r>
      <w:r>
        <w:rPr>
          <w:rFonts w:hint="eastAsia" w:ascii="宋体" w:hAnsi="宋体" w:eastAsia="宋体" w:cs="宋体"/>
          <w:color w:val="000000"/>
          <w:kern w:val="0"/>
          <w:sz w:val="24"/>
          <w:szCs w:val="24"/>
        </w:rPr>
        <w:t>个月。</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（二）质量保证</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乙方应保证按照投标文件、合同条款、技术规范及有关技术标准所提供的设备是全新、完整的，技术是先进且成熟的，质量是优良的，并确保设备符合安全可靠、运行有效和易于维护的要求</w:t>
      </w:r>
      <w:r>
        <w:rPr>
          <w:rFonts w:hint="eastAsia" w:ascii="宋体" w:hAnsi="宋体" w:eastAsia="宋体" w:cs="宋体"/>
          <w:bCs/>
          <w:color w:val="000000"/>
          <w:kern w:val="0"/>
          <w:sz w:val="24"/>
          <w:szCs w:val="24"/>
        </w:rPr>
        <w:t>并且保证所提供的产品具备国际、国内安全产品认证书和质量合格证书，并符合甲方认可的设计、施工方案的规定并具有满足整个系统要求的功能，该产品是合同约定品牌的生产厂家原厂生产的全新的产品</w:t>
      </w:r>
      <w:r>
        <w:rPr>
          <w:rFonts w:hint="eastAsia" w:ascii="宋体" w:hAnsi="宋体" w:cs="宋体"/>
          <w:bCs/>
          <w:color w:val="000000"/>
          <w:kern w:val="0"/>
          <w:sz w:val="24"/>
          <w:szCs w:val="24"/>
        </w:rPr>
        <w:t>。</w:t>
      </w:r>
      <w:r>
        <w:rPr>
          <w:rFonts w:hint="eastAsia" w:ascii="宋体" w:hAnsi="宋体" w:eastAsia="宋体" w:cs="宋体"/>
          <w:color w:val="000000"/>
          <w:kern w:val="0"/>
          <w:sz w:val="24"/>
          <w:szCs w:val="24"/>
        </w:rPr>
        <w:t>乙方还应保证按照合同所提供的货物不存在由于设计、材料或工艺的原因所造成的缺陷，或由于乙方的任何行为所造成的缺陷。</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质保期内若非甲方使用不当或人为原因而造成的设备损坏，其修理费及损坏零件材料费用由乙方承担。在全部合同设备使用寿命期内，</w:t>
      </w:r>
      <w:r>
        <w:rPr>
          <w:rFonts w:hint="eastAsia" w:ascii="宋体" w:hAnsi="宋体" w:eastAsia="宋体" w:cs="宋体"/>
          <w:b/>
          <w:color w:val="000000"/>
          <w:kern w:val="0"/>
          <w:sz w:val="24"/>
          <w:szCs w:val="24"/>
        </w:rPr>
        <w:t>乙方有义务随时继续供应甲方为维护合同设备正常运行所需的备品备件</w:t>
      </w:r>
      <w:r>
        <w:rPr>
          <w:rFonts w:hint="eastAsia" w:ascii="宋体" w:hAnsi="宋体" w:eastAsia="宋体" w:cs="宋体"/>
          <w:color w:val="000000"/>
          <w:kern w:val="0"/>
          <w:sz w:val="24"/>
          <w:szCs w:val="24"/>
        </w:rPr>
        <w:t xml:space="preserve">。 </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3.</w:t>
      </w:r>
      <w:r>
        <w:rPr>
          <w:rFonts w:hint="eastAsia" w:ascii="宋体" w:hAnsi="宋体" w:eastAsia="宋体" w:cs="宋体"/>
          <w:color w:val="000000"/>
          <w:kern w:val="0"/>
          <w:sz w:val="24"/>
          <w:szCs w:val="24"/>
        </w:rPr>
        <w:t>如果发现由于乙方责任造成任何设备缺陷或损坏，或不符合“技术条款”要求，或由于乙方技术文件错误或由于乙方技术人员在安装、调试、试运行和验收试验过程中错误指导而导致设备损坏，甲方有权根据合同相应条款向乙方提出索赔。</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4.</w:t>
      </w:r>
      <w:r>
        <w:rPr>
          <w:rFonts w:hint="eastAsia" w:ascii="宋体" w:hAnsi="宋体" w:eastAsia="宋体" w:cs="宋体"/>
          <w:color w:val="000000"/>
          <w:kern w:val="0"/>
          <w:sz w:val="24"/>
          <w:szCs w:val="24"/>
        </w:rPr>
        <w:t>如果在合同履行过程中有新的国家或行业（部）标准出台的，且该标准属于强制性标准的，则</w:t>
      </w:r>
      <w:r>
        <w:rPr>
          <w:rFonts w:hint="eastAsia" w:ascii="宋体" w:hAnsi="宋体" w:eastAsia="宋体" w:cs="宋体"/>
          <w:bCs/>
          <w:color w:val="000000"/>
          <w:kern w:val="0"/>
          <w:sz w:val="24"/>
          <w:szCs w:val="24"/>
        </w:rPr>
        <w:t>乙</w:t>
      </w:r>
      <w:r>
        <w:rPr>
          <w:rFonts w:hint="eastAsia" w:ascii="宋体" w:hAnsi="宋体" w:eastAsia="宋体" w:cs="宋体"/>
          <w:color w:val="000000"/>
          <w:kern w:val="0"/>
          <w:sz w:val="24"/>
          <w:szCs w:val="24"/>
        </w:rPr>
        <w:t>方应确保该合同产品达到并符合新的国家或行业（部）标准，因此而增加的费用及风险已经包含在合同总价中。</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5.</w:t>
      </w:r>
      <w:r>
        <w:rPr>
          <w:rFonts w:hint="eastAsia" w:ascii="宋体" w:hAnsi="宋体" w:eastAsia="宋体" w:cs="宋体"/>
          <w:color w:val="000000"/>
          <w:kern w:val="0"/>
          <w:sz w:val="24"/>
          <w:szCs w:val="24"/>
        </w:rPr>
        <w:t>乙方提供的产品若存在质量问题，导致在安装及今后使用过程中造成甲乙双方、使用人或第三方人身伤亡或财产损失的，</w:t>
      </w:r>
      <w:r>
        <w:rPr>
          <w:rFonts w:hint="eastAsia" w:ascii="宋体" w:hAnsi="宋体" w:eastAsia="宋体" w:cs="宋体"/>
          <w:bCs/>
          <w:color w:val="000000"/>
          <w:kern w:val="0"/>
          <w:sz w:val="24"/>
          <w:szCs w:val="24"/>
        </w:rPr>
        <w:t>乙</w:t>
      </w:r>
      <w:r>
        <w:rPr>
          <w:rFonts w:hint="eastAsia" w:ascii="宋体" w:hAnsi="宋体" w:eastAsia="宋体" w:cs="宋体"/>
          <w:color w:val="000000"/>
          <w:kern w:val="0"/>
          <w:sz w:val="24"/>
          <w:szCs w:val="24"/>
        </w:rPr>
        <w:t>方承担由此产生的全部责任。</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（三）产品包装</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乙方以合理的包装，保障产品符合长途运输和合理的多次搬动的要求，运输过程中所造成的损失全部由乙方承担。</w:t>
      </w:r>
    </w:p>
    <w:p>
      <w:pPr>
        <w:pStyle w:val="211"/>
        <w:spacing w:line="480" w:lineRule="exact"/>
        <w:ind w:firstLine="480" w:firstLineChars="200"/>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乙方货到现场后设专人保管，甲方协助提供存货位置，因保管不善导致产品淋湿、被盗、损坏等损失全部由乙方承担。</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（四）验收依据</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w:t>
      </w:r>
      <w:r>
        <w:rPr>
          <w:rFonts w:ascii="宋体" w:hAnsi="宋体" w:eastAsia="宋体" w:cs="宋体"/>
          <w:bCs/>
          <w:color w:val="000000"/>
          <w:kern w:val="0"/>
          <w:sz w:val="24"/>
          <w:szCs w:val="24"/>
        </w:rPr>
        <w:t>.</w:t>
      </w:r>
      <w:r>
        <w:rPr>
          <w:rFonts w:hint="eastAsia" w:ascii="宋体" w:hAnsi="宋体" w:eastAsia="宋体" w:cs="宋体"/>
          <w:bCs/>
          <w:color w:val="000000"/>
          <w:kern w:val="0"/>
          <w:sz w:val="24"/>
          <w:szCs w:val="24"/>
        </w:rPr>
        <w:t>质量检验标准和验收规范依据包含但不限于：</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ISO9001质量管理体系认证证书</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ISO27001信息安全管理体系认证证书</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ISO14001环境管理体系认证证书</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OHSAS18001职业健康安全管理体系认证证书</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ISO20000信息技术服务管理体系认证证书</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《电能计量装置技术管理规程》（DL/T 448-2016）</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《多功能电能表》（DL/T 614-2007）</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《多功能电能表通信协议》（DL/T 645-2007）</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《三相智能电能表技术规范》（DL/T 1485-2015）</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《单相智能电能表技术规范》（DL/T 1487-2015）（仅针对 G表）</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《单相智能电能表型式规范》（DL/T 1488-2015）（仅针对 G表）</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《三相智能电能表型式规范》（DL/T 1489-2015）</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《智能电能表功能规范》（DL/T 1490-2015）</w:t>
      </w:r>
    </w:p>
    <w:p>
      <w:pPr>
        <w:pStyle w:val="211"/>
        <w:spacing w:line="480" w:lineRule="exact"/>
        <w:ind w:firstLine="480" w:firstLineChars="200"/>
        <w:rPr>
          <w:rFonts w:ascii="宋体" w:hAnsi="宋体" w:eastAsia="宋体" w:cs="宋体"/>
          <w:bCs/>
          <w:color w:val="000000"/>
          <w:kern w:val="0"/>
          <w:sz w:val="24"/>
          <w:szCs w:val="24"/>
        </w:rPr>
      </w:pPr>
      <w:r>
        <w:rPr>
          <w:rFonts w:ascii="宋体" w:hAnsi="宋体" w:eastAsia="宋体" w:cs="宋体"/>
          <w:bCs/>
          <w:color w:val="000000"/>
          <w:kern w:val="0"/>
          <w:sz w:val="24"/>
          <w:szCs w:val="24"/>
        </w:rPr>
        <w:t>2.</w:t>
      </w:r>
      <w:r>
        <w:rPr>
          <w:rFonts w:hint="eastAsia" w:ascii="宋体" w:hAnsi="宋体" w:eastAsia="宋体" w:cs="宋体"/>
          <w:bCs/>
          <w:color w:val="000000"/>
          <w:kern w:val="0"/>
          <w:sz w:val="24"/>
          <w:szCs w:val="24"/>
        </w:rPr>
        <w:t>产品的供货安装验收必须以甲、乙方认可的产品品牌、规格、型号及施工图纸、设备说明书、有关变更的书面文件、国家颁布的施工及验收规范和质量检验标准为依据。</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验收合格条件：</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color w:val="000000"/>
          <w:kern w:val="0"/>
          <w:sz w:val="24"/>
          <w:szCs w:val="24"/>
        </w:rPr>
        <w:t>验收结果符合国家强制性规定及本合同约定的产品标准和技术规格书。</w:t>
      </w:r>
    </w:p>
    <w:p>
      <w:pPr>
        <w:pStyle w:val="211"/>
        <w:spacing w:line="480" w:lineRule="exact"/>
        <w:ind w:firstLine="482" w:firstLineChars="200"/>
        <w:rPr>
          <w:rFonts w:ascii="宋体" w:hAnsi="宋体" w:eastAsia="宋体" w:cs="宋体"/>
          <w:b/>
          <w:bCs/>
          <w:color w:val="000000"/>
          <w:kern w:val="0"/>
          <w:sz w:val="24"/>
          <w:szCs w:val="24"/>
        </w:rPr>
      </w:pPr>
      <w:r>
        <w:rPr>
          <w:rFonts w:ascii="宋体" w:hAnsi="宋体" w:eastAsia="宋体" w:cs="宋体"/>
          <w:b/>
          <w:bCs/>
          <w:color w:val="000000"/>
          <w:kern w:val="0"/>
          <w:sz w:val="24"/>
          <w:szCs w:val="24"/>
        </w:rPr>
        <w:t>十</w:t>
      </w:r>
      <w:r>
        <w:rPr>
          <w:rFonts w:hint="eastAsia" w:ascii="宋体" w:hAnsi="宋体" w:eastAsia="宋体" w:cs="宋体"/>
          <w:b/>
          <w:bCs/>
          <w:color w:val="000000"/>
          <w:kern w:val="0"/>
          <w:sz w:val="24"/>
          <w:szCs w:val="24"/>
        </w:rPr>
        <w:t>、</w:t>
      </w:r>
      <w:r>
        <w:rPr>
          <w:rFonts w:ascii="宋体" w:hAnsi="宋体" w:eastAsia="宋体" w:cs="宋体"/>
          <w:b/>
          <w:bCs/>
          <w:color w:val="000000"/>
          <w:kern w:val="0"/>
          <w:sz w:val="24"/>
          <w:szCs w:val="24"/>
        </w:rPr>
        <w:t>安装施工</w:t>
      </w:r>
    </w:p>
    <w:p>
      <w:pPr>
        <w:pStyle w:val="211"/>
        <w:spacing w:line="480" w:lineRule="exact"/>
        <w:ind w:firstLine="482" w:firstLineChars="200"/>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（一）安装施工期。</w:t>
      </w:r>
    </w:p>
    <w:p>
      <w:pPr>
        <w:pStyle w:val="211"/>
        <w:spacing w:line="480" w:lineRule="exact"/>
        <w:ind w:firstLine="480" w:firstLineChars="200"/>
        <w:rPr>
          <w:rFonts w:ascii="宋体" w:hAnsi="宋体" w:eastAsia="宋体" w:cs="宋体"/>
          <w:bCs/>
          <w:color w:val="000000"/>
          <w:kern w:val="0"/>
          <w:sz w:val="24"/>
          <w:szCs w:val="24"/>
        </w:rPr>
      </w:pPr>
      <w:r>
        <w:rPr>
          <w:rFonts w:ascii="宋体" w:hAnsi="宋体" w:eastAsia="宋体" w:cs="宋体"/>
          <w:bCs/>
          <w:color w:val="000000"/>
          <w:kern w:val="0"/>
          <w:sz w:val="24"/>
          <w:szCs w:val="24"/>
        </w:rPr>
        <w:t>1.</w:t>
      </w:r>
      <w:r>
        <w:rPr>
          <w:rFonts w:hint="eastAsia" w:ascii="宋体" w:hAnsi="宋体" w:eastAsia="宋体" w:cs="宋体"/>
          <w:bCs/>
          <w:color w:val="000000"/>
          <w:kern w:val="0"/>
          <w:sz w:val="24"/>
          <w:szCs w:val="24"/>
        </w:rPr>
        <w:t>本合同开工时间以甲方通知为准，施工周期为</w:t>
      </w:r>
      <w:r>
        <w:rPr>
          <w:rFonts w:hint="eastAsia" w:ascii="宋体" w:hAnsi="宋体" w:eastAsia="宋体" w:cs="宋体"/>
          <w:bCs/>
          <w:color w:val="000000"/>
          <w:kern w:val="0"/>
          <w:sz w:val="24"/>
          <w:szCs w:val="24"/>
          <w:u w:val="single"/>
        </w:rPr>
        <w:t xml:space="preserve"> </w:t>
      </w:r>
      <w:r>
        <w:rPr>
          <w:rFonts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rPr>
        <w:t>天。</w:t>
      </w:r>
    </w:p>
    <w:p>
      <w:pPr>
        <w:pStyle w:val="211"/>
        <w:spacing w:line="480" w:lineRule="exact"/>
        <w:ind w:firstLine="480" w:firstLineChars="200"/>
        <w:rPr>
          <w:rFonts w:ascii="宋体" w:hAnsi="宋体" w:eastAsia="宋体" w:cs="宋体"/>
          <w:bCs/>
          <w:color w:val="000000"/>
          <w:kern w:val="0"/>
          <w:sz w:val="24"/>
          <w:szCs w:val="24"/>
        </w:rPr>
      </w:pPr>
      <w:r>
        <w:rPr>
          <w:rFonts w:ascii="宋体" w:hAnsi="宋体" w:eastAsia="宋体" w:cs="宋体"/>
          <w:bCs/>
          <w:color w:val="000000"/>
          <w:kern w:val="0"/>
          <w:sz w:val="24"/>
          <w:szCs w:val="24"/>
        </w:rPr>
        <w:t>2.</w:t>
      </w:r>
      <w:r>
        <w:rPr>
          <w:rFonts w:hint="eastAsia" w:ascii="宋体" w:hAnsi="宋体" w:eastAsia="宋体" w:cs="宋体"/>
          <w:bCs/>
          <w:color w:val="000000"/>
          <w:kern w:val="0"/>
          <w:sz w:val="24"/>
          <w:szCs w:val="24"/>
        </w:rPr>
        <w:t>当设备到达安装地点，按照本合同规定条款，甲、乙双方联合检查并确认具备安装条件后，由甲、乙双方协商并书面约定一个安装工期（包括开工、完工日期），以便相互配合，如期完工。</w:t>
      </w:r>
    </w:p>
    <w:p>
      <w:pPr>
        <w:pStyle w:val="211"/>
        <w:spacing w:line="480" w:lineRule="exact"/>
        <w:ind w:firstLine="480" w:firstLineChars="200"/>
        <w:rPr>
          <w:rFonts w:ascii="宋体" w:hAnsi="宋体" w:eastAsia="宋体" w:cs="宋体"/>
          <w:bCs/>
          <w:color w:val="000000"/>
          <w:kern w:val="0"/>
          <w:sz w:val="24"/>
          <w:szCs w:val="24"/>
        </w:rPr>
      </w:pPr>
      <w:r>
        <w:rPr>
          <w:rFonts w:ascii="宋体" w:hAnsi="宋体" w:eastAsia="宋体" w:cs="宋体"/>
          <w:bCs/>
          <w:color w:val="000000"/>
          <w:kern w:val="0"/>
          <w:sz w:val="24"/>
          <w:szCs w:val="24"/>
        </w:rPr>
        <w:t>3.</w:t>
      </w:r>
      <w:r>
        <w:rPr>
          <w:rFonts w:hint="eastAsia" w:ascii="宋体" w:hAnsi="宋体" w:eastAsia="宋体" w:cs="宋体"/>
          <w:bCs/>
          <w:color w:val="000000"/>
          <w:kern w:val="0"/>
          <w:sz w:val="24"/>
          <w:szCs w:val="24"/>
        </w:rPr>
        <w:t>如因乙方自身原因或者设备缺陷造成无法按照双方约定的安装工期计划进行安装、调试，所造成的延期和误工等损失由乙方承担偿付责任。</w:t>
      </w:r>
    </w:p>
    <w:p>
      <w:pPr>
        <w:pStyle w:val="211"/>
        <w:spacing w:line="480" w:lineRule="exact"/>
        <w:ind w:firstLine="482" w:firstLineChars="200"/>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（二）安装的工作责任和费用。</w:t>
      </w:r>
    </w:p>
    <w:p>
      <w:pPr>
        <w:pStyle w:val="211"/>
        <w:spacing w:line="480" w:lineRule="exact"/>
        <w:ind w:firstLine="480" w:firstLineChars="200"/>
        <w:rPr>
          <w:rFonts w:ascii="宋体" w:hAnsi="宋体" w:eastAsia="宋体" w:cs="宋体"/>
          <w:bCs/>
          <w:color w:val="000000"/>
          <w:kern w:val="0"/>
          <w:sz w:val="24"/>
          <w:szCs w:val="24"/>
        </w:rPr>
      </w:pPr>
      <w:r>
        <w:rPr>
          <w:rFonts w:ascii="宋体" w:hAnsi="宋体" w:eastAsia="宋体" w:cs="宋体"/>
          <w:bCs/>
          <w:color w:val="000000"/>
          <w:kern w:val="0"/>
          <w:sz w:val="24"/>
          <w:szCs w:val="24"/>
        </w:rPr>
        <w:t>1.</w:t>
      </w:r>
      <w:r>
        <w:rPr>
          <w:rFonts w:hint="eastAsia" w:ascii="宋体" w:hAnsi="宋体" w:eastAsia="宋体" w:cs="宋体"/>
          <w:bCs/>
          <w:color w:val="000000"/>
          <w:kern w:val="0"/>
          <w:sz w:val="24"/>
          <w:szCs w:val="24"/>
        </w:rPr>
        <w:t>乙方责任和费用。</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（1）在合同约定安装时间前，负责派员前往安装现场进行勘测，确认安装条件，向甲方提供咨询服务和提出整改要求，与甲方约定具体开工日期。</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（2）在设备到货后，会同甲方代表根据发运资料共同对设备包装完整性和装箱数量进行清点，设备遗失和损坏由乙方负责。</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w:t>
      </w:r>
      <w:r>
        <w:rPr>
          <w:rFonts w:ascii="宋体" w:hAnsi="宋体" w:eastAsia="宋体" w:cs="宋体"/>
          <w:bCs/>
          <w:color w:val="000000"/>
          <w:kern w:val="0"/>
          <w:sz w:val="24"/>
          <w:szCs w:val="24"/>
        </w:rPr>
        <w:t>3</w:t>
      </w:r>
      <w:r>
        <w:rPr>
          <w:rFonts w:hint="eastAsia" w:ascii="宋体" w:hAnsi="宋体" w:eastAsia="宋体" w:cs="宋体"/>
          <w:bCs/>
          <w:color w:val="000000"/>
          <w:kern w:val="0"/>
          <w:sz w:val="24"/>
          <w:szCs w:val="24"/>
        </w:rPr>
        <w:t>）在正常安装期间，负责保管尚未安装的设备及部件。</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（4）按照国家质量标准完成设备的安装和调试工作。</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w:t>
      </w:r>
      <w:r>
        <w:rPr>
          <w:rFonts w:ascii="宋体" w:hAnsi="宋体" w:eastAsia="宋体" w:cs="宋体"/>
          <w:bCs/>
          <w:color w:val="000000"/>
          <w:kern w:val="0"/>
          <w:sz w:val="24"/>
          <w:szCs w:val="24"/>
        </w:rPr>
        <w:t>5</w:t>
      </w:r>
      <w:r>
        <w:rPr>
          <w:rFonts w:hint="eastAsia" w:ascii="宋体" w:hAnsi="宋体" w:eastAsia="宋体" w:cs="宋体"/>
          <w:bCs/>
          <w:color w:val="000000"/>
          <w:kern w:val="0"/>
          <w:sz w:val="24"/>
          <w:szCs w:val="24"/>
        </w:rPr>
        <w:t>）遵守施工现场甲方的有关规章制度。</w:t>
      </w:r>
    </w:p>
    <w:p>
      <w:pPr>
        <w:pStyle w:val="211"/>
        <w:spacing w:line="480" w:lineRule="exact"/>
        <w:ind w:firstLine="482" w:firstLineChars="200"/>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（三）安装验收。</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安装完毕，甲方按招投标文件、技术标准进行产品的最终质量验收。</w:t>
      </w:r>
      <w:r>
        <w:rPr>
          <w:rFonts w:ascii="宋体" w:hAnsi="宋体" w:eastAsia="宋体" w:cs="宋体"/>
          <w:bCs/>
          <w:color w:val="000000"/>
          <w:kern w:val="0"/>
          <w:sz w:val="24"/>
          <w:szCs w:val="24"/>
        </w:rPr>
        <w:t xml:space="preserve"> </w:t>
      </w:r>
    </w:p>
    <w:p>
      <w:pPr>
        <w:pStyle w:val="211"/>
        <w:spacing w:line="480" w:lineRule="exact"/>
        <w:ind w:firstLine="482" w:firstLineChars="200"/>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（四）价格调整。</w:t>
      </w:r>
    </w:p>
    <w:p>
      <w:pPr>
        <w:pStyle w:val="211"/>
        <w:spacing w:line="480" w:lineRule="exact"/>
        <w:ind w:firstLine="480" w:firstLineChars="200"/>
        <w:rPr>
          <w:rFonts w:ascii="宋体" w:hAnsi="宋体" w:eastAsia="宋体" w:cs="宋体"/>
          <w:bCs/>
          <w:color w:val="000000"/>
          <w:kern w:val="0"/>
          <w:sz w:val="24"/>
          <w:szCs w:val="24"/>
        </w:rPr>
      </w:pPr>
      <w:r>
        <w:rPr>
          <w:rFonts w:hint="eastAsia" w:ascii="宋体" w:hAnsi="宋体" w:eastAsia="宋体" w:cs="宋体"/>
          <w:bCs/>
          <w:color w:val="000000"/>
          <w:kern w:val="0"/>
          <w:sz w:val="24"/>
          <w:szCs w:val="24"/>
        </w:rPr>
        <w:t>乙方承诺不会因为安装、调试时间提前或者迟延而要求提高安装价格。</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十一、合同变更和违约</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（一）合同履行中，甲、乙双方任何一方要求变更合同的，应在本合同约定交付日前二个月以书面形式通知另一方，并征得另一方的书面认可。因此造成的损失或者增加费用由责任方承担。</w:t>
      </w:r>
    </w:p>
    <w:p>
      <w:pPr>
        <w:pStyle w:val="211"/>
        <w:spacing w:line="450" w:lineRule="exact"/>
        <w:ind w:firstLine="480" w:firstLineChars="200"/>
        <w:outlineLvl w:val="0"/>
        <w:rPr>
          <w:rFonts w:ascii="宋体" w:hAnsi="宋体" w:eastAsia="宋体" w:cs="宋体"/>
          <w:color w:val="000000"/>
          <w:sz w:val="24"/>
          <w:szCs w:val="24"/>
        </w:rPr>
      </w:pPr>
      <w:r>
        <w:rPr>
          <w:rFonts w:hint="eastAsia" w:ascii="宋体" w:hAnsi="宋体" w:eastAsia="宋体" w:cs="宋体"/>
          <w:color w:val="000000"/>
          <w:sz w:val="24"/>
          <w:szCs w:val="24"/>
        </w:rPr>
        <w:t>（二）质量</w:t>
      </w:r>
      <w:r>
        <w:rPr>
          <w:rFonts w:hint="eastAsia" w:ascii="宋体" w:hAnsi="宋体" w:eastAsia="宋体" w:cs="宋体"/>
          <w:color w:val="000000"/>
          <w:sz w:val="24"/>
          <w:szCs w:val="24"/>
          <w:lang w:val="zh-CN"/>
        </w:rPr>
        <w:t>达到国家现行产品和施工验收规范合格。否则，</w:t>
      </w:r>
      <w:r>
        <w:rPr>
          <w:rFonts w:hint="eastAsia" w:ascii="宋体" w:hAnsi="宋体" w:eastAsia="宋体" w:cs="宋体"/>
          <w:color w:val="000000"/>
          <w:sz w:val="24"/>
          <w:szCs w:val="24"/>
        </w:rPr>
        <w:t>除赔偿发包人直接损失外，向发包人支付不超过合同总价款</w:t>
      </w:r>
      <w:r>
        <w:rPr>
          <w:rFonts w:ascii="宋体" w:hAnsi="宋体" w:eastAsia="宋体" w:cs="宋体"/>
          <w:b/>
          <w:color w:val="000000"/>
          <w:sz w:val="24"/>
          <w:szCs w:val="24"/>
        </w:rPr>
        <w:t>5</w:t>
      </w:r>
      <w:r>
        <w:rPr>
          <w:rFonts w:hint="eastAsia" w:ascii="宋体" w:hAnsi="宋体" w:eastAsia="宋体" w:cs="宋体"/>
          <w:b/>
          <w:color w:val="000000"/>
          <w:sz w:val="24"/>
          <w:szCs w:val="24"/>
        </w:rPr>
        <w:t>%的违约金</w:t>
      </w:r>
      <w:r>
        <w:rPr>
          <w:rFonts w:hint="eastAsia" w:ascii="宋体" w:hAnsi="宋体" w:eastAsia="宋体" w:cs="宋体"/>
          <w:color w:val="000000"/>
          <w:sz w:val="24"/>
          <w:szCs w:val="24"/>
        </w:rPr>
        <w:t>。</w:t>
      </w:r>
    </w:p>
    <w:p>
      <w:pPr>
        <w:pStyle w:val="211"/>
        <w:spacing w:line="450" w:lineRule="exact"/>
        <w:ind w:firstLine="480" w:firstLineChars="200"/>
        <w:outlineLvl w:val="0"/>
        <w:rPr>
          <w:rFonts w:ascii="宋体" w:hAnsi="宋体" w:eastAsia="宋体" w:cs="宋体"/>
          <w:color w:val="000000"/>
          <w:sz w:val="24"/>
          <w:szCs w:val="24"/>
        </w:rPr>
      </w:pPr>
      <w:r>
        <w:rPr>
          <w:rFonts w:hint="eastAsia" w:ascii="宋体" w:hAnsi="宋体" w:eastAsia="宋体" w:cs="宋体"/>
          <w:color w:val="000000"/>
          <w:sz w:val="24"/>
          <w:szCs w:val="24"/>
        </w:rPr>
        <w:t>（三）安全文明施工现场要求</w:t>
      </w:r>
      <w:r>
        <w:rPr>
          <w:rFonts w:hint="eastAsia" w:ascii="宋体" w:hAnsi="宋体" w:eastAsia="宋体" w:cs="宋体"/>
          <w:color w:val="000000"/>
          <w:sz w:val="24"/>
          <w:szCs w:val="24"/>
          <w:lang w:val="zh-CN"/>
        </w:rPr>
        <w:t>达到国家相关法律法规的合格标准，避免发生重大安全事故。否则</w:t>
      </w:r>
      <w:r>
        <w:rPr>
          <w:rFonts w:hint="eastAsia" w:ascii="宋体" w:hAnsi="宋体" w:eastAsia="宋体" w:cs="宋体"/>
          <w:color w:val="000000"/>
          <w:sz w:val="24"/>
          <w:szCs w:val="24"/>
        </w:rPr>
        <w:t>除赔偿发包人直接损失外，向发包人支付不超过合同总价款</w:t>
      </w:r>
      <w:r>
        <w:rPr>
          <w:rFonts w:ascii="宋体" w:hAnsi="宋体" w:eastAsia="宋体" w:cs="宋体"/>
          <w:b/>
          <w:color w:val="000000"/>
          <w:sz w:val="24"/>
          <w:szCs w:val="24"/>
        </w:rPr>
        <w:t>5</w:t>
      </w:r>
      <w:r>
        <w:rPr>
          <w:rFonts w:hint="eastAsia" w:ascii="宋体" w:hAnsi="宋体" w:eastAsia="宋体" w:cs="宋体"/>
          <w:b/>
          <w:color w:val="000000"/>
          <w:sz w:val="24"/>
          <w:szCs w:val="24"/>
        </w:rPr>
        <w:t>%的违约金</w:t>
      </w:r>
      <w:r>
        <w:rPr>
          <w:rFonts w:hint="eastAsia" w:ascii="宋体" w:hAnsi="宋体" w:eastAsia="宋体" w:cs="宋体"/>
          <w:color w:val="000000"/>
          <w:sz w:val="24"/>
          <w:szCs w:val="24"/>
        </w:rPr>
        <w:t>。</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（四）由于乙方原因，乙方逾期交付的，应按1000元/天向甲方支付工期违约金，工期违约金总额不超过合同总价款的</w:t>
      </w:r>
      <w:r>
        <w:rPr>
          <w:rFonts w:ascii="宋体" w:hAnsi="宋体" w:eastAsia="宋体" w:cs="宋体"/>
          <w:b/>
          <w:color w:val="000000"/>
          <w:sz w:val="24"/>
          <w:szCs w:val="24"/>
        </w:rPr>
        <w:t>5</w:t>
      </w:r>
      <w:r>
        <w:rPr>
          <w:rFonts w:hint="eastAsia" w:ascii="宋体" w:hAnsi="宋体" w:eastAsia="宋体" w:cs="宋体"/>
          <w:b/>
          <w:color w:val="000000"/>
          <w:sz w:val="24"/>
          <w:szCs w:val="24"/>
        </w:rPr>
        <w:t>%</w:t>
      </w:r>
      <w:r>
        <w:rPr>
          <w:rFonts w:hint="eastAsia" w:ascii="宋体" w:hAnsi="宋体" w:eastAsia="宋体" w:cs="宋体"/>
          <w:color w:val="000000"/>
          <w:kern w:val="0"/>
          <w:sz w:val="24"/>
          <w:szCs w:val="24"/>
        </w:rPr>
        <w:t>。</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五）除不可抗力、单方违约外，甲乙双方中任何一方单方废止合同的，须向另一方偿付违约金，违约金为设备总金额的30%。另外，乙方单方废止合同的还需向甲方支付已收货款利息(按照银行同期贷款利率及收款时间计算)和工期拖延造成的实际损失费用。</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（六）甲乙双方均不需对因不可抗力原因而造成的违约负责，但不可抗力因素不能免除双方履约义务和合同责任。</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七）不可抗力，是指任何提出不可抗力事件的一方所不能合理控制其在该方没有过错或过失的情况下发生的任何事件、条件或情况，包括暴风雪、闪电、洪水、台风、火灾、飓风、地震、山崩、战争、封锁、恐怖主义事件、暴乱、动乱、破坏活动或其他类似的自然或社会事件及一方供应商所遭遇的类似事件。且在该等事件发生后，尽管提出不可抗力的一方已采取合理的措施阻止其发生或将事件的负面影响降低到最小，但该等事件仍导致该方延迟或中断履行其在本合同项下的义务。</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八）不可抗力发生后，受影响方（甲方或乙方）应立即将不可抗力发生的情况尽快用电话或传真通知另一方（乙方或甲方），并应在不可抗力事件发生后14天内将有关部门出具的证明文件送对方审阅确认。一旦不可抗力事故的影响持续1－20天以上，双方应通过友好协商在合理的时间内达成进一步履行合同的协议。</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（九）本合同文本不得涂改，若需修改，则须经甲、乙双方协商达成一致修改意见，并在合同“附件”中注明，且由双方共同签署此附件。</w:t>
      </w:r>
    </w:p>
    <w:p>
      <w:pPr>
        <w:pStyle w:val="211"/>
        <w:spacing w:line="450" w:lineRule="exact"/>
        <w:ind w:firstLine="480" w:firstLineChars="200"/>
        <w:rPr>
          <w:rFonts w:ascii="宋体" w:hAnsi="宋体" w:eastAsia="宋体" w:cs="宋体"/>
          <w:color w:val="000000"/>
          <w:sz w:val="24"/>
          <w:szCs w:val="24"/>
        </w:rPr>
      </w:pPr>
      <w:r>
        <w:rPr>
          <w:rFonts w:hint="eastAsia" w:ascii="宋体" w:hAnsi="宋体" w:eastAsia="宋体" w:cs="宋体"/>
          <w:color w:val="000000"/>
          <w:kern w:val="0"/>
          <w:sz w:val="24"/>
          <w:szCs w:val="24"/>
        </w:rPr>
        <w:t>（十）</w:t>
      </w:r>
      <w:r>
        <w:rPr>
          <w:rFonts w:hint="eastAsia" w:ascii="宋体" w:hAnsi="宋体" w:eastAsia="宋体" w:cs="宋体"/>
          <w:color w:val="000000"/>
          <w:sz w:val="24"/>
          <w:szCs w:val="24"/>
        </w:rPr>
        <w:t>在未得到对方许可的情况下，甲方或乙方均不得擅自终止本合同,如双方中的任何一方造成前述事实,则违约方将向另一方支付中途毁约违约金,金额为本合同总价的30%。</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十二、其他事项</w:t>
      </w:r>
    </w:p>
    <w:p>
      <w:pPr>
        <w:pStyle w:val="211"/>
        <w:spacing w:line="450" w:lineRule="exact"/>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本合同条款如有更改，须另行签署补充协议附后；任何修改须经双方代表共同签署并盖章。</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十三、签订时间</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本合同于</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日签订。</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十四、签订地点</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本合同在</w:t>
      </w:r>
      <w:r>
        <w:rPr>
          <w:rFonts w:hint="eastAsia" w:ascii="宋体" w:hAnsi="宋体" w:eastAsia="宋体" w:cs="宋体"/>
          <w:color w:val="000000"/>
          <w:kern w:val="0"/>
          <w:sz w:val="24"/>
          <w:szCs w:val="24"/>
          <w:u w:val="single"/>
        </w:rPr>
        <w:t xml:space="preserve"> 湖北宜昌交运集团股份有限公司 </w:t>
      </w:r>
      <w:r>
        <w:rPr>
          <w:rFonts w:hint="eastAsia" w:ascii="宋体" w:hAnsi="宋体" w:eastAsia="宋体" w:cs="宋体"/>
          <w:color w:val="000000"/>
          <w:kern w:val="0"/>
          <w:sz w:val="24"/>
          <w:szCs w:val="24"/>
        </w:rPr>
        <w:t>签订。</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十五、补充协议</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合同未尽事宜，合同当事人另行签订补充协议，补充协议是合同的组成部分。</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十六、合同生效</w:t>
      </w:r>
    </w:p>
    <w:p>
      <w:pPr>
        <w:pStyle w:val="211"/>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本合同自</w:t>
      </w:r>
      <w:r>
        <w:rPr>
          <w:rFonts w:hint="eastAsia" w:ascii="宋体" w:hAnsi="宋体" w:eastAsia="宋体" w:cs="宋体"/>
          <w:color w:val="000000"/>
          <w:kern w:val="0"/>
          <w:sz w:val="24"/>
          <w:szCs w:val="24"/>
          <w:u w:val="single"/>
        </w:rPr>
        <w:t>双方签字盖章之日</w:t>
      </w:r>
      <w:r>
        <w:rPr>
          <w:rFonts w:hint="eastAsia" w:ascii="宋体" w:hAnsi="宋体" w:eastAsia="宋体" w:cs="宋体"/>
          <w:color w:val="000000"/>
          <w:kern w:val="0"/>
          <w:sz w:val="24"/>
          <w:szCs w:val="24"/>
        </w:rPr>
        <w:t>起生效。</w:t>
      </w:r>
    </w:p>
    <w:p>
      <w:pPr>
        <w:pStyle w:val="211"/>
        <w:spacing w:line="480" w:lineRule="exact"/>
        <w:ind w:firstLine="482" w:firstLineChars="200"/>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十七、合同份数</w:t>
      </w:r>
    </w:p>
    <w:p>
      <w:pPr>
        <w:pStyle w:val="211"/>
        <w:widowControl/>
        <w:spacing w:line="48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本合同一式</w:t>
      </w:r>
      <w:r>
        <w:rPr>
          <w:rFonts w:hint="eastAsia" w:ascii="宋体" w:hAnsi="宋体" w:eastAsia="宋体" w:cs="宋体"/>
          <w:color w:val="000000"/>
          <w:kern w:val="0"/>
          <w:sz w:val="24"/>
          <w:szCs w:val="24"/>
          <w:u w:val="single"/>
        </w:rPr>
        <w:t>陆</w:t>
      </w:r>
      <w:r>
        <w:rPr>
          <w:rFonts w:hint="eastAsia" w:ascii="宋体" w:hAnsi="宋体" w:eastAsia="宋体" w:cs="宋体"/>
          <w:color w:val="000000"/>
          <w:kern w:val="0"/>
          <w:sz w:val="24"/>
          <w:szCs w:val="24"/>
        </w:rPr>
        <w:t>份，均具有同等法律效力，甲方执</w:t>
      </w:r>
      <w:r>
        <w:rPr>
          <w:rFonts w:hint="eastAsia" w:ascii="宋体" w:hAnsi="宋体" w:eastAsia="宋体" w:cs="宋体"/>
          <w:color w:val="000000"/>
          <w:kern w:val="0"/>
          <w:sz w:val="24"/>
          <w:szCs w:val="24"/>
          <w:u w:val="single"/>
        </w:rPr>
        <w:t>叁</w:t>
      </w:r>
      <w:r>
        <w:rPr>
          <w:rFonts w:hint="eastAsia" w:ascii="宋体" w:hAnsi="宋体" w:eastAsia="宋体" w:cs="宋体"/>
          <w:color w:val="000000"/>
          <w:kern w:val="0"/>
          <w:sz w:val="24"/>
          <w:szCs w:val="24"/>
        </w:rPr>
        <w:t>份，乙方执</w:t>
      </w:r>
      <w:r>
        <w:rPr>
          <w:rFonts w:hint="eastAsia" w:ascii="宋体" w:hAnsi="宋体" w:eastAsia="宋体" w:cs="宋体"/>
          <w:color w:val="000000"/>
          <w:kern w:val="0"/>
          <w:sz w:val="24"/>
          <w:szCs w:val="24"/>
          <w:u w:val="single"/>
        </w:rPr>
        <w:t>叁</w:t>
      </w:r>
      <w:r>
        <w:rPr>
          <w:rFonts w:hint="eastAsia" w:ascii="宋体" w:hAnsi="宋体" w:eastAsia="宋体" w:cs="宋体"/>
          <w:color w:val="000000"/>
          <w:kern w:val="0"/>
          <w:sz w:val="24"/>
          <w:szCs w:val="24"/>
        </w:rPr>
        <w:t>份。</w:t>
      </w:r>
    </w:p>
    <w:p>
      <w:pPr>
        <w:pStyle w:val="211"/>
        <w:autoSpaceDE w:val="0"/>
        <w:autoSpaceDN w:val="0"/>
        <w:adjustRightInd w:val="0"/>
        <w:spacing w:line="480" w:lineRule="exact"/>
        <w:ind w:firstLine="495"/>
        <w:rPr>
          <w:rFonts w:ascii="宋体" w:hAnsi="宋体" w:eastAsia="宋体" w:cs="宋体"/>
          <w:color w:val="000000"/>
          <w:kern w:val="0"/>
          <w:sz w:val="24"/>
          <w:szCs w:val="24"/>
        </w:rPr>
      </w:pPr>
    </w:p>
    <w:p>
      <w:pPr>
        <w:pStyle w:val="211"/>
        <w:autoSpaceDE w:val="0"/>
        <w:autoSpaceDN w:val="0"/>
        <w:adjustRightInd w:val="0"/>
        <w:spacing w:line="480" w:lineRule="exact"/>
        <w:ind w:firstLine="495"/>
        <w:rPr>
          <w:rFonts w:ascii="宋体" w:hAnsi="宋体" w:eastAsia="宋体" w:cs="宋体"/>
          <w:color w:val="000000"/>
          <w:kern w:val="0"/>
          <w:sz w:val="24"/>
          <w:szCs w:val="24"/>
        </w:rPr>
      </w:pPr>
    </w:p>
    <w:p>
      <w:pPr>
        <w:pStyle w:val="211"/>
        <w:tabs>
          <w:tab w:val="left" w:pos="4700"/>
        </w:tabs>
        <w:spacing w:line="4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甲方：（公章）                       乙方：（公章）</w:t>
      </w:r>
    </w:p>
    <w:p>
      <w:pPr>
        <w:pStyle w:val="211"/>
        <w:tabs>
          <w:tab w:val="left" w:pos="4700"/>
        </w:tabs>
        <w:spacing w:line="480" w:lineRule="exact"/>
        <w:rPr>
          <w:rFonts w:ascii="宋体" w:hAnsi="宋体" w:eastAsia="宋体" w:cs="宋体"/>
          <w:color w:val="000000"/>
          <w:kern w:val="0"/>
          <w:sz w:val="24"/>
          <w:szCs w:val="24"/>
        </w:rPr>
      </w:pPr>
    </w:p>
    <w:p>
      <w:pPr>
        <w:pStyle w:val="211"/>
        <w:tabs>
          <w:tab w:val="left" w:pos="4700"/>
        </w:tabs>
        <w:spacing w:line="4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法定代表人：（签章）                 法定代表人：（签章）</w:t>
      </w:r>
    </w:p>
    <w:p>
      <w:pPr>
        <w:pStyle w:val="211"/>
        <w:tabs>
          <w:tab w:val="left" w:pos="4700"/>
        </w:tabs>
        <w:spacing w:line="480" w:lineRule="exact"/>
        <w:rPr>
          <w:rFonts w:ascii="宋体" w:hAnsi="宋体" w:eastAsia="宋体" w:cs="宋体"/>
          <w:color w:val="000000"/>
          <w:kern w:val="0"/>
          <w:sz w:val="24"/>
          <w:szCs w:val="24"/>
          <w:highlight w:val="cyan"/>
        </w:rPr>
      </w:pPr>
    </w:p>
    <w:p>
      <w:pPr>
        <w:pStyle w:val="211"/>
        <w:tabs>
          <w:tab w:val="left" w:pos="4700"/>
        </w:tabs>
        <w:spacing w:line="4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委托代理人：（签字）                 委托代理人：（签字）</w:t>
      </w:r>
    </w:p>
    <w:p>
      <w:pPr>
        <w:pStyle w:val="5"/>
        <w:pageBreakBefore/>
        <w:spacing w:before="240" w:beforeLines="100" w:after="240" w:afterLines="100"/>
        <w:rPr>
          <w:rFonts w:ascii="仿宋" w:hAnsi="仿宋" w:eastAsia="仿宋" w:cs="仿宋"/>
          <w:color w:val="000000"/>
        </w:rPr>
      </w:pPr>
      <w:bookmarkStart w:id="226" w:name="_Toc482390559"/>
      <w:bookmarkStart w:id="227" w:name="_Toc482390686"/>
      <w:bookmarkStart w:id="228" w:name="_Toc484129885"/>
      <w:bookmarkStart w:id="229" w:name="_Toc505952924"/>
      <w:bookmarkStart w:id="230" w:name="_Toc13643"/>
      <w:bookmarkStart w:id="231" w:name="_Toc522293544"/>
      <w:bookmarkStart w:id="232" w:name="_Toc18484"/>
      <w:r>
        <w:rPr>
          <w:rFonts w:hint="eastAsia" w:cs="宋体"/>
          <w:color w:val="000000"/>
        </w:rPr>
        <w:t>第五章  商务及技术要求</w:t>
      </w:r>
      <w:bookmarkEnd w:id="226"/>
      <w:bookmarkEnd w:id="227"/>
      <w:bookmarkEnd w:id="228"/>
      <w:bookmarkEnd w:id="229"/>
      <w:bookmarkEnd w:id="230"/>
    </w:p>
    <w:p>
      <w:pPr>
        <w:pStyle w:val="166"/>
        <w:shd w:val="clear" w:color="auto" w:fill="FFFFFF"/>
        <w:spacing w:line="460" w:lineRule="exact"/>
        <w:ind w:firstLine="482" w:firstLineChars="200"/>
        <w:jc w:val="both"/>
        <w:rPr>
          <w:rFonts w:ascii="仿宋_GB2312" w:hAnsi="仿宋" w:cs="仿宋"/>
          <w:b/>
          <w:bCs/>
          <w:color w:val="000000"/>
          <w:lang w:val="zh-CN"/>
        </w:rPr>
      </w:pPr>
      <w:r>
        <w:rPr>
          <w:rFonts w:hint="eastAsia" w:ascii="仿宋_GB2312" w:hAnsi="仿宋" w:cs="仿宋"/>
          <w:b/>
          <w:bCs/>
          <w:color w:val="000000"/>
        </w:rPr>
        <w:t>一</w:t>
      </w:r>
      <w:r>
        <w:rPr>
          <w:rFonts w:hint="eastAsia" w:ascii="仿宋_GB2312" w:hAnsi="仿宋" w:cs="仿宋"/>
          <w:b/>
          <w:bCs/>
          <w:color w:val="000000"/>
          <w:lang w:val="zh-CN"/>
        </w:rPr>
        <w:t>、项目概况</w:t>
      </w:r>
    </w:p>
    <w:p>
      <w:pPr>
        <w:pStyle w:val="166"/>
        <w:shd w:val="clear" w:color="auto" w:fill="FFFFFF"/>
        <w:spacing w:line="460" w:lineRule="exact"/>
        <w:ind w:firstLine="480" w:firstLineChars="200"/>
        <w:jc w:val="both"/>
        <w:rPr>
          <w:rFonts w:ascii="仿宋_GB2312" w:hAnsi="仿宋" w:cs="仿宋"/>
          <w:bCs/>
          <w:color w:val="000000"/>
          <w:lang w:val="zh-CN"/>
        </w:rPr>
      </w:pPr>
      <w:r>
        <w:rPr>
          <w:rFonts w:hint="eastAsia" w:ascii="楷体" w:hAnsi="楷体" w:eastAsia="楷体" w:cs="仿宋"/>
          <w:bCs/>
        </w:rPr>
        <w:t>（一）项目名称：</w:t>
      </w:r>
      <w:r>
        <w:rPr>
          <w:rFonts w:hint="eastAsia" w:ascii="仿宋_GB2312" w:hAnsi="仿宋" w:cs="仿宋"/>
          <w:bCs/>
          <w:color w:val="000000"/>
          <w:lang w:val="zh-CN"/>
        </w:rPr>
        <w:t>物业租赁智能用电管理改造升级项目</w:t>
      </w:r>
    </w:p>
    <w:p>
      <w:pPr>
        <w:pStyle w:val="166"/>
        <w:shd w:val="clear" w:color="auto" w:fill="FFFFFF"/>
        <w:spacing w:line="460" w:lineRule="exact"/>
        <w:ind w:firstLine="480" w:firstLineChars="200"/>
        <w:jc w:val="both"/>
        <w:rPr>
          <w:rFonts w:ascii="仿宋_GB2312" w:hAnsi="仿宋" w:cs="仿宋"/>
          <w:bCs/>
          <w:color w:val="000000"/>
          <w:lang w:val="zh-CN"/>
        </w:rPr>
      </w:pPr>
      <w:r>
        <w:rPr>
          <w:rFonts w:hint="eastAsia" w:ascii="楷体" w:hAnsi="楷体" w:eastAsia="楷体" w:cs="仿宋"/>
          <w:bCs/>
        </w:rPr>
        <w:t>（二）最高限价：</w:t>
      </w:r>
      <w:r>
        <w:rPr>
          <w:rFonts w:hint="eastAsia" w:ascii="仿宋_GB2312" w:hAnsi="仿宋" w:cs="仿宋"/>
          <w:bCs/>
          <w:color w:val="000000"/>
          <w:lang w:val="zh-CN"/>
        </w:rPr>
        <w:t>人民币</w:t>
      </w:r>
      <w:bookmarkStart w:id="233" w:name="_Hlk57823462"/>
      <w:r>
        <w:rPr>
          <w:rFonts w:ascii="仿宋_GB2312" w:hAnsi="仿宋" w:cs="仿宋"/>
          <w:bCs/>
          <w:color w:val="000000"/>
          <w:lang w:val="zh-CN"/>
        </w:rPr>
        <w:t>120.2668</w:t>
      </w:r>
      <w:r>
        <w:rPr>
          <w:rFonts w:hint="eastAsia" w:ascii="仿宋_GB2312" w:hAnsi="仿宋" w:cs="仿宋"/>
          <w:bCs/>
          <w:color w:val="000000"/>
          <w:lang w:val="zh-CN"/>
        </w:rPr>
        <w:t>万元</w:t>
      </w:r>
      <w:bookmarkEnd w:id="233"/>
    </w:p>
    <w:p>
      <w:pPr>
        <w:spacing w:line="460" w:lineRule="exact"/>
        <w:ind w:firstLine="480" w:firstLineChars="200"/>
        <w:rPr>
          <w:rFonts w:hAnsi="仿宋" w:cs="仿宋"/>
          <w:bCs/>
          <w:color w:val="000000"/>
          <w:kern w:val="0"/>
          <w:sz w:val="24"/>
          <w:szCs w:val="24"/>
          <w:lang w:val="zh-CN"/>
        </w:rPr>
      </w:pPr>
      <w:r>
        <w:rPr>
          <w:rFonts w:hint="eastAsia" w:hAnsi="仿宋" w:cs="仿宋"/>
          <w:bCs/>
          <w:color w:val="000000"/>
          <w:kern w:val="0"/>
          <w:sz w:val="24"/>
          <w:szCs w:val="24"/>
          <w:lang w:val="zh-CN"/>
        </w:rPr>
        <w:t>（三）交付时间：合同签订后1</w:t>
      </w:r>
      <w:r>
        <w:rPr>
          <w:rFonts w:hAnsi="仿宋" w:cs="仿宋"/>
          <w:bCs/>
          <w:color w:val="000000"/>
          <w:kern w:val="0"/>
          <w:sz w:val="24"/>
          <w:szCs w:val="24"/>
          <w:lang w:val="zh-CN"/>
        </w:rPr>
        <w:t>20日历天内</w:t>
      </w:r>
      <w:r>
        <w:rPr>
          <w:rFonts w:hint="eastAsia" w:hAnsi="仿宋" w:cs="仿宋"/>
          <w:bCs/>
          <w:color w:val="000000"/>
          <w:kern w:val="0"/>
          <w:sz w:val="24"/>
          <w:szCs w:val="24"/>
          <w:lang w:val="zh-CN"/>
        </w:rPr>
        <w:t>。</w:t>
      </w:r>
    </w:p>
    <w:p>
      <w:pPr>
        <w:spacing w:line="460" w:lineRule="exact"/>
        <w:ind w:firstLine="480" w:firstLineChars="200"/>
        <w:rPr>
          <w:rFonts w:hAnsi="仿宋" w:cs="仿宋"/>
          <w:color w:val="000000"/>
          <w:kern w:val="0"/>
          <w:sz w:val="24"/>
          <w:szCs w:val="24"/>
          <w:lang w:val="zh-CN"/>
        </w:rPr>
      </w:pPr>
      <w:r>
        <w:rPr>
          <w:rFonts w:hint="eastAsia" w:ascii="楷体" w:hAnsi="楷体" w:eastAsia="楷体" w:cs="仿宋"/>
          <w:bCs/>
          <w:kern w:val="0"/>
          <w:sz w:val="24"/>
          <w:szCs w:val="24"/>
        </w:rPr>
        <w:t>（</w:t>
      </w:r>
      <w:r>
        <w:rPr>
          <w:rFonts w:ascii="楷体" w:hAnsi="楷体" w:eastAsia="楷体" w:cs="仿宋"/>
          <w:bCs/>
          <w:kern w:val="0"/>
          <w:sz w:val="24"/>
          <w:szCs w:val="24"/>
        </w:rPr>
        <w:t>四</w:t>
      </w:r>
      <w:r>
        <w:rPr>
          <w:rFonts w:hint="eastAsia" w:ascii="楷体" w:hAnsi="楷体" w:eastAsia="楷体" w:cs="仿宋"/>
          <w:bCs/>
          <w:kern w:val="0"/>
          <w:sz w:val="24"/>
          <w:szCs w:val="24"/>
        </w:rPr>
        <w:t>）服务地点：</w:t>
      </w:r>
      <w:r>
        <w:rPr>
          <w:rFonts w:hint="eastAsia" w:hAnsi="仿宋" w:cs="仿宋"/>
          <w:color w:val="000000"/>
          <w:kern w:val="0"/>
          <w:sz w:val="24"/>
          <w:szCs w:val="24"/>
          <w:lang w:val="zh-CN"/>
        </w:rPr>
        <w:t>招标人指定地点。</w:t>
      </w:r>
    </w:p>
    <w:p>
      <w:pPr>
        <w:pStyle w:val="166"/>
        <w:shd w:val="clear" w:color="auto" w:fill="FFFFFF"/>
        <w:spacing w:line="460" w:lineRule="exact"/>
        <w:ind w:firstLine="482" w:firstLineChars="200"/>
        <w:jc w:val="both"/>
        <w:rPr>
          <w:rFonts w:hAnsi="仿宋" w:cs="仿宋"/>
          <w:b/>
          <w:bCs/>
          <w:color w:val="000000"/>
        </w:rPr>
      </w:pPr>
      <w:r>
        <w:rPr>
          <w:rFonts w:hint="eastAsia" w:ascii="仿宋_GB2312" w:hAnsi="仿宋" w:cs="仿宋"/>
          <w:b/>
          <w:bCs/>
          <w:color w:val="000000"/>
        </w:rPr>
        <w:t>二、招标内容</w:t>
      </w:r>
    </w:p>
    <w:p>
      <w:pPr>
        <w:spacing w:line="460" w:lineRule="exact"/>
        <w:ind w:firstLine="480" w:firstLineChars="200"/>
        <w:rPr>
          <w:rFonts w:hAnsi="仿宋" w:cs="仿宋"/>
          <w:color w:val="000000"/>
          <w:lang w:val="zh-CN"/>
        </w:rPr>
      </w:pPr>
      <w:r>
        <w:rPr>
          <w:rFonts w:hint="eastAsia" w:ascii="楷体" w:hAnsi="楷体" w:eastAsia="楷体" w:cs="仿宋"/>
          <w:bCs/>
          <w:kern w:val="0"/>
          <w:sz w:val="24"/>
          <w:szCs w:val="24"/>
        </w:rPr>
        <w:t>（一）物业租赁智能用电管理系统设计方案</w:t>
      </w:r>
      <w:r>
        <w:rPr>
          <w:rFonts w:hint="eastAsia" w:hAnsi="仿宋" w:cs="仿宋"/>
          <w:color w:val="000000"/>
          <w:kern w:val="0"/>
          <w:sz w:val="24"/>
          <w:szCs w:val="24"/>
          <w:lang w:val="zh-CN"/>
        </w:rPr>
        <w:t>（含管理系统软件开发设计、设施设备安装施工设计等）；</w:t>
      </w:r>
    </w:p>
    <w:p>
      <w:pPr>
        <w:spacing w:line="460" w:lineRule="exact"/>
        <w:ind w:firstLine="480" w:firstLineChars="200"/>
        <w:rPr>
          <w:rFonts w:hAnsi="仿宋" w:cs="仿宋"/>
          <w:color w:val="000000"/>
          <w:lang w:val="zh-CN"/>
        </w:rPr>
      </w:pPr>
      <w:r>
        <w:rPr>
          <w:rFonts w:hint="eastAsia" w:ascii="楷体" w:hAnsi="楷体" w:eastAsia="楷体" w:cs="仿宋"/>
          <w:bCs/>
          <w:kern w:val="0"/>
          <w:sz w:val="24"/>
          <w:szCs w:val="24"/>
        </w:rPr>
        <w:t>（二）物业租赁智能用电管理系统软件平台开发</w:t>
      </w:r>
      <w:r>
        <w:rPr>
          <w:rFonts w:hint="eastAsia" w:hAnsi="仿宋" w:cs="仿宋"/>
          <w:color w:val="000000"/>
          <w:kern w:val="0"/>
          <w:sz w:val="24"/>
          <w:szCs w:val="24"/>
          <w:lang w:val="zh-CN"/>
        </w:rPr>
        <w:t>（含开发、许可、部署、调试、异构系统对接等，满足用电管理需求）；</w:t>
      </w:r>
    </w:p>
    <w:p>
      <w:pPr>
        <w:spacing w:line="460" w:lineRule="exact"/>
        <w:ind w:firstLine="480" w:firstLineChars="200"/>
        <w:rPr>
          <w:rFonts w:hAnsi="仿宋" w:cs="仿宋"/>
          <w:color w:val="000000"/>
          <w:lang w:val="zh-CN"/>
        </w:rPr>
      </w:pPr>
      <w:r>
        <w:rPr>
          <w:rFonts w:hint="eastAsia" w:ascii="楷体" w:hAnsi="楷体" w:eastAsia="楷体" w:cs="仿宋"/>
          <w:bCs/>
          <w:kern w:val="0"/>
          <w:sz w:val="24"/>
          <w:szCs w:val="24"/>
        </w:rPr>
        <w:t>（三）物业租赁智能用电管理系统设施设备采购</w:t>
      </w:r>
      <w:r>
        <w:rPr>
          <w:rFonts w:hint="eastAsia" w:hAnsi="仿宋" w:cs="仿宋"/>
          <w:color w:val="000000"/>
          <w:kern w:val="0"/>
          <w:sz w:val="24"/>
          <w:szCs w:val="24"/>
          <w:lang w:val="zh-CN"/>
        </w:rPr>
        <w:t>（含终端电表、电表内置模块、数据采集器（集中器）及相关辅材）；</w:t>
      </w:r>
    </w:p>
    <w:p>
      <w:pPr>
        <w:spacing w:line="460" w:lineRule="exact"/>
        <w:ind w:firstLine="480" w:firstLineChars="200"/>
        <w:rPr>
          <w:rFonts w:hAnsi="仿宋" w:cs="仿宋"/>
          <w:color w:val="000000"/>
          <w:kern w:val="0"/>
          <w:sz w:val="24"/>
          <w:szCs w:val="24"/>
          <w:lang w:val="zh-CN"/>
        </w:rPr>
      </w:pPr>
      <w:r>
        <w:rPr>
          <w:rFonts w:hint="eastAsia" w:ascii="楷体" w:hAnsi="楷体" w:eastAsia="楷体" w:cs="仿宋"/>
          <w:bCs/>
          <w:kern w:val="0"/>
          <w:sz w:val="24"/>
          <w:szCs w:val="24"/>
        </w:rPr>
        <w:t>（四）物业租赁智能用电管理系统设施设备安装及改造</w:t>
      </w:r>
      <w:r>
        <w:rPr>
          <w:rFonts w:hint="eastAsia" w:hAnsi="仿宋" w:cs="仿宋"/>
          <w:color w:val="000000"/>
          <w:kern w:val="0"/>
          <w:sz w:val="24"/>
          <w:szCs w:val="24"/>
          <w:lang w:val="zh-CN"/>
        </w:rPr>
        <w:t>（含前述设施设备的安装、存量设施设备的改造、所有设施设备的调试和连接）。</w:t>
      </w:r>
    </w:p>
    <w:p>
      <w:pPr>
        <w:spacing w:line="460" w:lineRule="exact"/>
        <w:ind w:firstLine="723" w:firstLineChars="300"/>
        <w:rPr>
          <w:rFonts w:hAnsi="仿宋" w:cs="仿宋"/>
          <w:b/>
          <w:color w:val="000000"/>
          <w:kern w:val="0"/>
          <w:sz w:val="24"/>
          <w:szCs w:val="24"/>
        </w:rPr>
      </w:pPr>
      <w:r>
        <w:rPr>
          <w:rFonts w:hint="eastAsia" w:hAnsi="仿宋" w:cs="仿宋"/>
          <w:b/>
          <w:color w:val="000000"/>
          <w:kern w:val="0"/>
          <w:sz w:val="24"/>
          <w:szCs w:val="24"/>
        </w:rPr>
        <w:t>三、项目需求</w:t>
      </w:r>
    </w:p>
    <w:p>
      <w:pPr>
        <w:spacing w:line="460" w:lineRule="exact"/>
        <w:ind w:firstLine="480" w:firstLineChars="200"/>
        <w:rPr>
          <w:rFonts w:hAnsi="仿宋" w:cs="仿宋"/>
          <w:bCs/>
          <w:kern w:val="0"/>
          <w:sz w:val="24"/>
          <w:szCs w:val="24"/>
        </w:rPr>
      </w:pPr>
      <w:r>
        <w:rPr>
          <w:rFonts w:hint="eastAsia" w:ascii="楷体" w:hAnsi="楷体" w:eastAsia="楷体" w:cs="仿宋"/>
          <w:bCs/>
          <w:kern w:val="0"/>
          <w:sz w:val="24"/>
          <w:szCs w:val="24"/>
        </w:rPr>
        <w:t>（一）项目背景：</w:t>
      </w:r>
      <w:r>
        <w:rPr>
          <w:rFonts w:hint="eastAsia" w:hAnsi="仿宋" w:cs="仿宋"/>
          <w:bCs/>
          <w:kern w:val="0"/>
          <w:sz w:val="24"/>
          <w:szCs w:val="24"/>
        </w:rPr>
        <w:t>为有效降低集团公司物业租赁经营成本，提升运营管理水平，提高综合服务品质，拟对集团各物业租赁用电管理系统进行改造升级。本次改造升级涉及终端电表的更换、多功能多用户电表的改造联网、电表数据的有线和无线传输、用电管理系统的本地搭建等。</w:t>
      </w:r>
    </w:p>
    <w:p>
      <w:pPr>
        <w:spacing w:line="460" w:lineRule="exact"/>
        <w:ind w:firstLine="480" w:firstLineChars="200"/>
        <w:rPr>
          <w:rFonts w:ascii="楷体" w:hAnsi="楷体" w:eastAsia="楷体" w:cs="仿宋"/>
          <w:kern w:val="0"/>
          <w:sz w:val="24"/>
          <w:szCs w:val="24"/>
        </w:rPr>
      </w:pPr>
      <w:r>
        <w:rPr>
          <w:rFonts w:hint="eastAsia" w:ascii="楷体" w:hAnsi="楷体" w:eastAsia="楷体" w:cs="仿宋"/>
          <w:bCs/>
          <w:kern w:val="0"/>
          <w:sz w:val="24"/>
          <w:szCs w:val="24"/>
        </w:rPr>
        <w:t>（二）</w:t>
      </w:r>
      <w:r>
        <w:rPr>
          <w:rFonts w:hint="eastAsia" w:ascii="楷体" w:hAnsi="楷体" w:eastAsia="楷体" w:cs="仿宋"/>
          <w:kern w:val="0"/>
          <w:sz w:val="24"/>
          <w:szCs w:val="24"/>
        </w:rPr>
        <w:t>升级改造项目需要实现的功能。</w:t>
      </w:r>
    </w:p>
    <w:p>
      <w:pPr>
        <w:spacing w:line="460" w:lineRule="exact"/>
        <w:ind w:firstLine="482" w:firstLineChars="200"/>
        <w:rPr>
          <w:rFonts w:hAnsi="仿宋" w:cs="仿宋"/>
          <w:b/>
          <w:bCs/>
          <w:kern w:val="0"/>
          <w:sz w:val="24"/>
          <w:szCs w:val="24"/>
        </w:rPr>
      </w:pPr>
      <w:r>
        <w:rPr>
          <w:rFonts w:hAnsi="仿宋" w:cs="仿宋"/>
          <w:b/>
          <w:bCs/>
          <w:kern w:val="0"/>
          <w:sz w:val="24"/>
          <w:szCs w:val="24"/>
        </w:rPr>
        <w:t>1.</w:t>
      </w:r>
      <w:r>
        <w:rPr>
          <w:rFonts w:hint="eastAsia" w:hAnsi="仿宋" w:cs="仿宋"/>
          <w:b/>
          <w:bCs/>
          <w:kern w:val="0"/>
          <w:sz w:val="24"/>
          <w:szCs w:val="24"/>
        </w:rPr>
        <w:t>商户能耗管理。</w:t>
      </w:r>
    </w:p>
    <w:p>
      <w:pPr>
        <w:spacing w:line="460" w:lineRule="exact"/>
        <w:ind w:firstLine="480" w:firstLineChars="200"/>
        <w:rPr>
          <w:rFonts w:hAnsi="仿宋" w:cs="仿宋"/>
          <w:bCs/>
          <w:kern w:val="0"/>
          <w:sz w:val="24"/>
          <w:szCs w:val="24"/>
        </w:rPr>
      </w:pPr>
      <w:r>
        <w:rPr>
          <w:rFonts w:hint="eastAsia" w:hAnsi="仿宋" w:cs="仿宋"/>
          <w:bCs/>
          <w:kern w:val="0"/>
          <w:sz w:val="24"/>
          <w:szCs w:val="24"/>
        </w:rPr>
        <w:t>实时查看园区商户每月能耗使用和费用缴纳情况，详细显示各个终端电表每月电表读数，自动记录不同时刻商户的用电量，实现对商户的用电需求快速响应。</w:t>
      </w:r>
    </w:p>
    <w:p>
      <w:pPr>
        <w:spacing w:line="460" w:lineRule="exact"/>
        <w:ind w:firstLine="482" w:firstLineChars="200"/>
        <w:rPr>
          <w:rFonts w:hAnsi="仿宋" w:cs="仿宋"/>
          <w:b/>
          <w:bCs/>
          <w:kern w:val="0"/>
          <w:sz w:val="24"/>
          <w:szCs w:val="24"/>
        </w:rPr>
      </w:pPr>
      <w:r>
        <w:rPr>
          <w:rFonts w:hAnsi="仿宋" w:cs="仿宋"/>
          <w:b/>
          <w:bCs/>
          <w:kern w:val="0"/>
          <w:sz w:val="24"/>
          <w:szCs w:val="24"/>
        </w:rPr>
        <w:t>2.</w:t>
      </w:r>
      <w:r>
        <w:rPr>
          <w:rFonts w:hint="eastAsia" w:hAnsi="仿宋" w:cs="仿宋"/>
          <w:b/>
          <w:bCs/>
          <w:kern w:val="0"/>
          <w:sz w:val="24"/>
          <w:szCs w:val="24"/>
        </w:rPr>
        <w:t>商户欠费管理。</w:t>
      </w:r>
    </w:p>
    <w:p>
      <w:pPr>
        <w:spacing w:line="460" w:lineRule="exact"/>
        <w:ind w:firstLine="480" w:firstLineChars="200"/>
        <w:rPr>
          <w:rFonts w:hAnsi="仿宋" w:cs="仿宋"/>
          <w:bCs/>
          <w:kern w:val="0"/>
          <w:sz w:val="24"/>
          <w:szCs w:val="24"/>
        </w:rPr>
      </w:pPr>
      <w:r>
        <w:rPr>
          <w:rFonts w:hint="eastAsia" w:hAnsi="仿宋" w:cs="仿宋"/>
          <w:bCs/>
          <w:kern w:val="0"/>
          <w:sz w:val="24"/>
          <w:szCs w:val="24"/>
        </w:rPr>
        <w:t>通过设置不同前置条件，在商户预存电费金额不足或临近租费缴纳节点时，通过短信向管理人员和园区商户双方进行提示，督促商户及时充值缴费。统计商户欠费金额和时间，为管理人员研判园区经营状况、处置园区欠费商户提供数据支持。</w:t>
      </w:r>
    </w:p>
    <w:p>
      <w:pPr>
        <w:spacing w:line="460" w:lineRule="exact"/>
        <w:ind w:firstLine="482" w:firstLineChars="200"/>
        <w:rPr>
          <w:rFonts w:hAnsi="仿宋" w:cs="仿宋"/>
          <w:b/>
          <w:bCs/>
          <w:kern w:val="0"/>
          <w:sz w:val="24"/>
          <w:szCs w:val="24"/>
        </w:rPr>
      </w:pPr>
      <w:r>
        <w:rPr>
          <w:rFonts w:hAnsi="仿宋" w:cs="仿宋"/>
          <w:b/>
          <w:bCs/>
          <w:kern w:val="0"/>
          <w:sz w:val="24"/>
          <w:szCs w:val="24"/>
        </w:rPr>
        <w:t>3.</w:t>
      </w:r>
      <w:r>
        <w:rPr>
          <w:rFonts w:hint="eastAsia" w:hAnsi="仿宋" w:cs="仿宋"/>
          <w:b/>
          <w:bCs/>
          <w:kern w:val="0"/>
          <w:sz w:val="24"/>
          <w:szCs w:val="24"/>
        </w:rPr>
        <w:t>终端远程控制。</w:t>
      </w:r>
    </w:p>
    <w:p>
      <w:pPr>
        <w:spacing w:line="460" w:lineRule="exact"/>
        <w:ind w:firstLine="480" w:firstLineChars="200"/>
        <w:rPr>
          <w:rFonts w:hAnsi="仿宋" w:cs="仿宋"/>
          <w:bCs/>
          <w:kern w:val="0"/>
          <w:sz w:val="24"/>
          <w:szCs w:val="24"/>
        </w:rPr>
      </w:pPr>
      <w:r>
        <w:rPr>
          <w:rFonts w:hint="eastAsia" w:hAnsi="仿宋" w:cs="仿宋"/>
          <w:bCs/>
          <w:kern w:val="0"/>
          <w:sz w:val="24"/>
          <w:szCs w:val="24"/>
        </w:rPr>
        <w:t>通过系统联动实现欠缴租费自动拉闸、余额不足自动拉闸、远程控制拉合闸，避免出现商户欠缴租费却仍然正常经营的现象，有效控制园区商户租费欠缴情况。</w:t>
      </w:r>
    </w:p>
    <w:p>
      <w:pPr>
        <w:spacing w:line="460" w:lineRule="exact"/>
        <w:ind w:firstLine="482" w:firstLineChars="200"/>
        <w:rPr>
          <w:rFonts w:hAnsi="仿宋" w:cs="仿宋"/>
          <w:b/>
          <w:bCs/>
          <w:kern w:val="0"/>
          <w:sz w:val="24"/>
          <w:szCs w:val="24"/>
        </w:rPr>
      </w:pPr>
      <w:r>
        <w:rPr>
          <w:rFonts w:hAnsi="仿宋" w:cs="仿宋"/>
          <w:b/>
          <w:bCs/>
          <w:kern w:val="0"/>
          <w:sz w:val="24"/>
          <w:szCs w:val="24"/>
        </w:rPr>
        <w:t>4.</w:t>
      </w:r>
      <w:r>
        <w:rPr>
          <w:rFonts w:hint="eastAsia" w:hAnsi="仿宋" w:cs="仿宋"/>
          <w:b/>
          <w:bCs/>
          <w:kern w:val="0"/>
          <w:sz w:val="24"/>
          <w:szCs w:val="24"/>
        </w:rPr>
        <w:t>商户自助缴费。</w:t>
      </w:r>
    </w:p>
    <w:p>
      <w:pPr>
        <w:spacing w:line="460" w:lineRule="exact"/>
        <w:ind w:firstLine="480" w:firstLineChars="200"/>
        <w:rPr>
          <w:rFonts w:hAnsi="仿宋" w:cs="仿宋"/>
          <w:bCs/>
          <w:kern w:val="0"/>
          <w:sz w:val="24"/>
          <w:szCs w:val="24"/>
        </w:rPr>
      </w:pPr>
      <w:r>
        <w:rPr>
          <w:rFonts w:hint="eastAsia" w:hAnsi="仿宋" w:cs="仿宋"/>
          <w:bCs/>
          <w:kern w:val="0"/>
          <w:sz w:val="24"/>
          <w:szCs w:val="24"/>
        </w:rPr>
        <w:t>支持商户通过网络系统远程操作、登录园区微信公众平台、本地柜台人工充值等方式自助查询缴纳租金、电费及其他费用。支持后台统计分析商户充值金额及周期，降低物业管理人工成本，提升园区物业服务品质。</w:t>
      </w:r>
    </w:p>
    <w:p>
      <w:pPr>
        <w:spacing w:line="460" w:lineRule="exact"/>
        <w:ind w:firstLine="482" w:firstLineChars="200"/>
        <w:rPr>
          <w:rFonts w:hAnsi="仿宋" w:cs="仿宋"/>
          <w:b/>
          <w:bCs/>
          <w:kern w:val="0"/>
          <w:sz w:val="24"/>
          <w:szCs w:val="24"/>
        </w:rPr>
      </w:pPr>
      <w:r>
        <w:rPr>
          <w:rFonts w:hAnsi="仿宋" w:cs="仿宋"/>
          <w:b/>
          <w:bCs/>
          <w:kern w:val="0"/>
          <w:sz w:val="24"/>
          <w:szCs w:val="24"/>
        </w:rPr>
        <w:t>5.</w:t>
      </w:r>
      <w:r>
        <w:rPr>
          <w:rFonts w:hint="eastAsia" w:hAnsi="仿宋" w:cs="仿宋"/>
          <w:b/>
          <w:bCs/>
          <w:kern w:val="0"/>
          <w:sz w:val="24"/>
          <w:szCs w:val="24"/>
        </w:rPr>
        <w:t>能源单价设定。</w:t>
      </w:r>
    </w:p>
    <w:p>
      <w:pPr>
        <w:spacing w:line="460" w:lineRule="exact"/>
        <w:ind w:firstLine="480" w:firstLineChars="200"/>
        <w:rPr>
          <w:rFonts w:hAnsi="仿宋" w:cs="仿宋"/>
          <w:bCs/>
          <w:kern w:val="0"/>
          <w:sz w:val="24"/>
          <w:szCs w:val="24"/>
        </w:rPr>
      </w:pPr>
      <w:r>
        <w:rPr>
          <w:rFonts w:hint="eastAsia" w:hAnsi="仿宋" w:cs="仿宋"/>
          <w:bCs/>
          <w:kern w:val="0"/>
          <w:sz w:val="24"/>
          <w:szCs w:val="24"/>
        </w:rPr>
        <w:t>支持对不同区域、不同业态商户分时段、分阶梯进行用电单价独立设定，快速精准生产用电费用结算清单，有效提升高能耗、高电损业态租赁收益。</w:t>
      </w:r>
    </w:p>
    <w:p>
      <w:pPr>
        <w:spacing w:line="460" w:lineRule="exact"/>
        <w:ind w:firstLine="482" w:firstLineChars="200"/>
        <w:rPr>
          <w:rFonts w:hAnsi="仿宋" w:cs="仿宋"/>
          <w:b/>
          <w:bCs/>
          <w:kern w:val="0"/>
          <w:sz w:val="24"/>
          <w:szCs w:val="24"/>
        </w:rPr>
      </w:pPr>
      <w:r>
        <w:rPr>
          <w:rFonts w:hAnsi="仿宋" w:cs="仿宋"/>
          <w:b/>
          <w:bCs/>
          <w:kern w:val="0"/>
          <w:sz w:val="24"/>
          <w:szCs w:val="24"/>
        </w:rPr>
        <w:t>6.</w:t>
      </w:r>
      <w:r>
        <w:rPr>
          <w:rFonts w:hint="eastAsia" w:hAnsi="仿宋" w:cs="仿宋"/>
          <w:b/>
          <w:bCs/>
          <w:kern w:val="0"/>
          <w:sz w:val="24"/>
          <w:szCs w:val="24"/>
        </w:rPr>
        <w:t>用电异常预警。</w:t>
      </w:r>
    </w:p>
    <w:p>
      <w:pPr>
        <w:spacing w:line="460" w:lineRule="exact"/>
        <w:ind w:firstLine="480" w:firstLineChars="200"/>
        <w:rPr>
          <w:rFonts w:hAnsi="仿宋" w:cs="仿宋"/>
          <w:bCs/>
          <w:kern w:val="0"/>
          <w:sz w:val="24"/>
          <w:szCs w:val="24"/>
        </w:rPr>
      </w:pPr>
      <w:r>
        <w:rPr>
          <w:rFonts w:hint="eastAsia" w:hAnsi="仿宋" w:cs="仿宋"/>
          <w:bCs/>
          <w:kern w:val="0"/>
          <w:sz w:val="24"/>
          <w:szCs w:val="24"/>
        </w:rPr>
        <w:t>分区域、按时段统计用电情况，根据分区总表、独立电表的数据，自动排查关联区域是否存在偷电现象，并及时向管理人员发出预警。</w:t>
      </w:r>
    </w:p>
    <w:p>
      <w:pPr>
        <w:spacing w:line="460" w:lineRule="exact"/>
        <w:ind w:firstLine="482" w:firstLineChars="200"/>
        <w:rPr>
          <w:rFonts w:hAnsi="仿宋" w:cs="仿宋"/>
          <w:b/>
          <w:bCs/>
          <w:kern w:val="0"/>
          <w:sz w:val="24"/>
          <w:szCs w:val="24"/>
        </w:rPr>
      </w:pPr>
      <w:r>
        <w:rPr>
          <w:rFonts w:hAnsi="仿宋" w:cs="仿宋"/>
          <w:b/>
          <w:bCs/>
          <w:kern w:val="0"/>
          <w:sz w:val="24"/>
          <w:szCs w:val="24"/>
        </w:rPr>
        <w:t>7.</w:t>
      </w:r>
      <w:r>
        <w:rPr>
          <w:rFonts w:hint="eastAsia" w:hAnsi="仿宋" w:cs="仿宋"/>
          <w:b/>
          <w:bCs/>
          <w:kern w:val="0"/>
          <w:sz w:val="24"/>
          <w:szCs w:val="24"/>
        </w:rPr>
        <w:t>业态能耗分析。</w:t>
      </w:r>
    </w:p>
    <w:p>
      <w:pPr>
        <w:spacing w:line="460" w:lineRule="exact"/>
        <w:ind w:firstLine="480" w:firstLineChars="200"/>
        <w:rPr>
          <w:rFonts w:hAnsi="仿宋" w:cs="仿宋"/>
          <w:bCs/>
          <w:kern w:val="0"/>
          <w:sz w:val="24"/>
          <w:szCs w:val="24"/>
        </w:rPr>
      </w:pPr>
      <w:r>
        <w:rPr>
          <w:rFonts w:hint="eastAsia" w:hAnsi="仿宋" w:cs="仿宋"/>
          <w:bCs/>
          <w:kern w:val="0"/>
          <w:sz w:val="24"/>
          <w:szCs w:val="24"/>
        </w:rPr>
        <w:t>通过汇总分析不同业态用电数据，展示自定义查询对象能耗数据，生成业态能耗及同期能耗对比图，协助管理人员侧面了解商户实际经营变化。</w:t>
      </w:r>
    </w:p>
    <w:p>
      <w:pPr>
        <w:spacing w:line="460" w:lineRule="exact"/>
        <w:ind w:firstLine="482" w:firstLineChars="200"/>
        <w:rPr>
          <w:rFonts w:hAnsi="仿宋" w:cs="仿宋"/>
          <w:b/>
          <w:bCs/>
          <w:kern w:val="0"/>
          <w:sz w:val="24"/>
          <w:szCs w:val="24"/>
        </w:rPr>
      </w:pPr>
      <w:r>
        <w:rPr>
          <w:rFonts w:hAnsi="仿宋" w:cs="仿宋"/>
          <w:b/>
          <w:bCs/>
          <w:kern w:val="0"/>
          <w:sz w:val="24"/>
          <w:szCs w:val="24"/>
        </w:rPr>
        <w:t>8.</w:t>
      </w:r>
      <w:r>
        <w:rPr>
          <w:rFonts w:hint="eastAsia" w:hAnsi="仿宋" w:cs="仿宋"/>
          <w:b/>
          <w:bCs/>
          <w:kern w:val="0"/>
          <w:sz w:val="24"/>
          <w:szCs w:val="24"/>
        </w:rPr>
        <w:t>线路维护提示。</w:t>
      </w:r>
    </w:p>
    <w:p>
      <w:pPr>
        <w:spacing w:line="460" w:lineRule="exact"/>
        <w:ind w:firstLine="480" w:firstLineChars="200"/>
        <w:rPr>
          <w:rFonts w:hAnsi="仿宋" w:cs="仿宋"/>
          <w:bCs/>
          <w:kern w:val="0"/>
          <w:sz w:val="24"/>
          <w:szCs w:val="24"/>
        </w:rPr>
      </w:pPr>
      <w:r>
        <w:rPr>
          <w:rFonts w:hint="eastAsia" w:hAnsi="仿宋" w:cs="仿宋"/>
          <w:bCs/>
          <w:kern w:val="0"/>
          <w:sz w:val="24"/>
          <w:szCs w:val="24"/>
        </w:rPr>
        <w:t>展示商户周期用电情况，通过实际能耗排名，提示管理人员关注异常商户，对高负荷线路进行及时维护，有效降低园区用电安全隐患。</w:t>
      </w:r>
    </w:p>
    <w:p>
      <w:pPr>
        <w:spacing w:line="460" w:lineRule="exact"/>
        <w:ind w:firstLine="482" w:firstLineChars="200"/>
        <w:rPr>
          <w:rFonts w:hAnsi="仿宋" w:cs="仿宋"/>
          <w:b/>
          <w:bCs/>
          <w:kern w:val="0"/>
          <w:sz w:val="24"/>
          <w:szCs w:val="24"/>
        </w:rPr>
      </w:pPr>
      <w:r>
        <w:rPr>
          <w:rFonts w:hAnsi="仿宋" w:cs="仿宋"/>
          <w:b/>
          <w:bCs/>
          <w:kern w:val="0"/>
          <w:sz w:val="24"/>
          <w:szCs w:val="24"/>
        </w:rPr>
        <w:t>9.</w:t>
      </w:r>
      <w:r>
        <w:rPr>
          <w:rFonts w:hint="eastAsia" w:hAnsi="仿宋" w:cs="仿宋"/>
          <w:b/>
          <w:bCs/>
          <w:kern w:val="0"/>
          <w:sz w:val="24"/>
          <w:szCs w:val="24"/>
        </w:rPr>
        <w:t>测定读数查询。</w:t>
      </w:r>
    </w:p>
    <w:p>
      <w:pPr>
        <w:spacing w:line="460" w:lineRule="exact"/>
        <w:ind w:firstLine="480" w:firstLineChars="200"/>
        <w:rPr>
          <w:rFonts w:hAnsi="仿宋" w:cs="仿宋"/>
          <w:bCs/>
          <w:kern w:val="0"/>
          <w:sz w:val="24"/>
          <w:szCs w:val="24"/>
        </w:rPr>
      </w:pPr>
      <w:r>
        <w:rPr>
          <w:rFonts w:hint="eastAsia" w:hAnsi="仿宋" w:cs="仿宋"/>
          <w:bCs/>
          <w:kern w:val="0"/>
          <w:sz w:val="24"/>
          <w:szCs w:val="24"/>
        </w:rPr>
        <w:t>支持远程查询、修改相应测点读数，确保终端测点数据的准确性，更换终端测点电表时，可以更好的对测点进行数据记录及修改。</w:t>
      </w:r>
    </w:p>
    <w:p>
      <w:pPr>
        <w:spacing w:line="460" w:lineRule="exact"/>
        <w:ind w:firstLine="482" w:firstLineChars="200"/>
        <w:rPr>
          <w:rFonts w:hAnsi="仿宋" w:cs="仿宋"/>
          <w:b/>
          <w:bCs/>
          <w:kern w:val="0"/>
          <w:sz w:val="24"/>
          <w:szCs w:val="24"/>
        </w:rPr>
      </w:pPr>
      <w:bookmarkStart w:id="234" w:name="_Hlk57188596"/>
      <w:r>
        <w:rPr>
          <w:rFonts w:hAnsi="仿宋" w:cs="仿宋"/>
          <w:b/>
          <w:bCs/>
          <w:kern w:val="0"/>
          <w:sz w:val="24"/>
          <w:szCs w:val="24"/>
        </w:rPr>
        <w:t>10.</w:t>
      </w:r>
      <w:r>
        <w:rPr>
          <w:rFonts w:hint="eastAsia" w:hAnsi="仿宋" w:cs="仿宋"/>
          <w:b/>
          <w:bCs/>
          <w:kern w:val="0"/>
          <w:sz w:val="24"/>
          <w:szCs w:val="24"/>
        </w:rPr>
        <w:t>综合报表查询。</w:t>
      </w:r>
    </w:p>
    <w:p>
      <w:pPr>
        <w:spacing w:line="460" w:lineRule="exact"/>
        <w:ind w:firstLine="480" w:firstLineChars="200"/>
        <w:rPr>
          <w:rFonts w:hAnsi="仿宋" w:cs="仿宋"/>
          <w:bCs/>
          <w:kern w:val="0"/>
          <w:sz w:val="24"/>
          <w:szCs w:val="24"/>
        </w:rPr>
      </w:pPr>
      <w:r>
        <w:rPr>
          <w:rFonts w:hint="eastAsia" w:hAnsi="仿宋" w:cs="仿宋"/>
          <w:bCs/>
          <w:kern w:val="0"/>
          <w:sz w:val="24"/>
          <w:szCs w:val="24"/>
        </w:rPr>
        <w:t>系统提供报表自定义工具，管理人员根据实际需要，对系统全节点信息进行自定义查询，按照选定内容、格式、周期、导出</w:t>
      </w:r>
      <w:r>
        <w:rPr>
          <w:rFonts w:hAnsi="仿宋" w:cs="仿宋"/>
          <w:bCs/>
          <w:kern w:val="0"/>
          <w:sz w:val="24"/>
          <w:szCs w:val="24"/>
        </w:rPr>
        <w:t>/发送规则，系统自动生成相应模块报表，支持数据间依赖计算。</w:t>
      </w:r>
    </w:p>
    <w:bookmarkEnd w:id="234"/>
    <w:p>
      <w:pPr>
        <w:spacing w:line="460" w:lineRule="exact"/>
        <w:ind w:firstLine="482" w:firstLineChars="200"/>
        <w:rPr>
          <w:rFonts w:hAnsi="仿宋" w:cs="仿宋"/>
          <w:b/>
          <w:bCs/>
          <w:kern w:val="0"/>
          <w:sz w:val="24"/>
          <w:szCs w:val="24"/>
        </w:rPr>
      </w:pPr>
      <w:r>
        <w:rPr>
          <w:rFonts w:hAnsi="仿宋" w:cs="仿宋"/>
          <w:b/>
          <w:bCs/>
          <w:kern w:val="0"/>
          <w:sz w:val="24"/>
          <w:szCs w:val="24"/>
        </w:rPr>
        <w:t>11.</w:t>
      </w:r>
      <w:r>
        <w:rPr>
          <w:rFonts w:hint="eastAsia" w:hAnsi="仿宋" w:cs="仿宋"/>
          <w:b/>
          <w:bCs/>
          <w:kern w:val="0"/>
          <w:sz w:val="24"/>
          <w:szCs w:val="24"/>
        </w:rPr>
        <w:t>集团权限管理。</w:t>
      </w:r>
    </w:p>
    <w:p>
      <w:pPr>
        <w:pStyle w:val="2"/>
        <w:spacing w:after="0" w:line="460" w:lineRule="exact"/>
        <w:ind w:left="0" w:leftChars="0" w:firstLine="480"/>
        <w:rPr>
          <w:rFonts w:ascii="仿宋_GB2312" w:hAnsi="仿宋" w:eastAsia="仿宋_GB2312" w:cs="仿宋"/>
          <w:bCs/>
          <w:kern w:val="0"/>
          <w:sz w:val="24"/>
          <w:szCs w:val="24"/>
        </w:rPr>
      </w:pPr>
      <w:r>
        <w:rPr>
          <w:rFonts w:hint="eastAsia" w:ascii="仿宋_GB2312" w:hAnsi="仿宋" w:eastAsia="仿宋_GB2312" w:cs="仿宋"/>
          <w:bCs/>
          <w:kern w:val="0"/>
          <w:sz w:val="24"/>
          <w:szCs w:val="24"/>
        </w:rPr>
        <w:t>实现集团管控，对权限分配及档案管理的管控权限。</w:t>
      </w:r>
    </w:p>
    <w:p>
      <w:pPr>
        <w:pStyle w:val="2"/>
        <w:spacing w:after="0" w:line="460" w:lineRule="exact"/>
        <w:ind w:left="0" w:leftChars="0" w:firstLine="480"/>
        <w:rPr>
          <w:rFonts w:ascii="仿宋_GB2312" w:hAnsi="仿宋" w:eastAsia="仿宋_GB2312" w:cs="仿宋"/>
          <w:bCs/>
          <w:kern w:val="0"/>
          <w:sz w:val="24"/>
          <w:szCs w:val="24"/>
        </w:rPr>
      </w:pPr>
      <w:r>
        <w:rPr>
          <w:rFonts w:hint="eastAsia" w:ascii="仿宋_GB2312" w:hAnsi="仿宋" w:eastAsia="仿宋_GB2312" w:cs="仿宋"/>
          <w:bCs/>
          <w:kern w:val="0"/>
          <w:sz w:val="24"/>
          <w:szCs w:val="24"/>
        </w:rPr>
        <w:t>（1）由集团管理员进行组织机构档案、人员档案、电表档案的管理（档案数据可实现导入功能）。</w:t>
      </w:r>
    </w:p>
    <w:p>
      <w:pPr>
        <w:pStyle w:val="2"/>
        <w:spacing w:after="0" w:line="460" w:lineRule="exact"/>
        <w:ind w:left="0" w:leftChars="0" w:firstLine="480"/>
        <w:rPr>
          <w:rFonts w:ascii="仿宋_GB2312" w:hAnsi="仿宋" w:eastAsia="仿宋_GB2312" w:cs="仿宋"/>
          <w:bCs/>
          <w:kern w:val="0"/>
          <w:sz w:val="24"/>
          <w:szCs w:val="24"/>
        </w:rPr>
      </w:pPr>
      <w:r>
        <w:rPr>
          <w:rFonts w:hint="eastAsia" w:ascii="仿宋_GB2312" w:hAnsi="仿宋" w:eastAsia="仿宋_GB2312" w:cs="仿宋"/>
          <w:bCs/>
          <w:kern w:val="0"/>
          <w:sz w:val="24"/>
          <w:szCs w:val="24"/>
        </w:rPr>
        <w:t>（2）由集团管理员分配系统登陆账号角色、及操作权限、可登陆操作单位；</w:t>
      </w:r>
    </w:p>
    <w:p>
      <w:pPr>
        <w:pStyle w:val="2"/>
        <w:spacing w:after="0" w:line="460" w:lineRule="exact"/>
        <w:ind w:left="0" w:leftChars="0" w:firstLine="480"/>
        <w:rPr>
          <w:rFonts w:ascii="仿宋_GB2312" w:hAnsi="仿宋" w:eastAsia="仿宋_GB2312" w:cs="仿宋"/>
          <w:bCs/>
          <w:kern w:val="0"/>
          <w:sz w:val="24"/>
          <w:szCs w:val="24"/>
        </w:rPr>
      </w:pPr>
      <w:r>
        <w:rPr>
          <w:rFonts w:hint="eastAsia" w:ascii="仿宋_GB2312" w:hAnsi="仿宋" w:eastAsia="仿宋_GB2312" w:cs="仿宋"/>
          <w:bCs/>
          <w:kern w:val="0"/>
          <w:sz w:val="24"/>
          <w:szCs w:val="24"/>
        </w:rPr>
        <w:t>（3）系统提供权限、角色自定义功能；</w:t>
      </w:r>
    </w:p>
    <w:p>
      <w:pPr>
        <w:pStyle w:val="2"/>
        <w:spacing w:after="0" w:line="460" w:lineRule="exact"/>
        <w:ind w:left="0" w:leftChars="0" w:firstLine="480"/>
        <w:rPr>
          <w:rFonts w:ascii="仿宋_GB2312" w:hAnsi="仿宋" w:eastAsia="仿宋_GB2312" w:cs="仿宋"/>
          <w:bCs/>
          <w:kern w:val="0"/>
          <w:sz w:val="24"/>
          <w:szCs w:val="24"/>
        </w:rPr>
      </w:pPr>
      <w:r>
        <w:rPr>
          <w:rFonts w:hint="eastAsia" w:ascii="仿宋_GB2312" w:hAnsi="仿宋" w:eastAsia="仿宋_GB2312" w:cs="仿宋"/>
          <w:bCs/>
          <w:kern w:val="0"/>
          <w:sz w:val="24"/>
          <w:szCs w:val="24"/>
        </w:rPr>
        <w:t>（4）数据查询根据账号分配的单位进行数据过滤；</w:t>
      </w:r>
    </w:p>
    <w:p>
      <w:pPr>
        <w:pStyle w:val="2"/>
        <w:spacing w:after="0" w:line="460" w:lineRule="exact"/>
        <w:ind w:left="0" w:leftChars="0" w:firstLine="480"/>
        <w:rPr>
          <w:rFonts w:ascii="仿宋_GB2312" w:hAnsi="仿宋" w:eastAsia="仿宋_GB2312" w:cs="仿宋"/>
          <w:bCs/>
          <w:kern w:val="0"/>
          <w:sz w:val="24"/>
          <w:szCs w:val="24"/>
        </w:rPr>
      </w:pPr>
      <w:r>
        <w:rPr>
          <w:rFonts w:hint="eastAsia" w:ascii="仿宋_GB2312" w:hAnsi="仿宋" w:eastAsia="仿宋_GB2312" w:cs="仿宋"/>
          <w:bCs/>
          <w:kern w:val="0"/>
          <w:sz w:val="24"/>
          <w:szCs w:val="24"/>
        </w:rPr>
        <w:t>（5）集团管理员不能进行业务操作。</w:t>
      </w:r>
    </w:p>
    <w:p>
      <w:pPr>
        <w:spacing w:line="460" w:lineRule="exact"/>
        <w:ind w:firstLine="482" w:firstLineChars="200"/>
        <w:rPr>
          <w:rFonts w:hAnsi="仿宋" w:cs="仿宋"/>
          <w:b/>
          <w:bCs/>
          <w:kern w:val="0"/>
          <w:sz w:val="24"/>
          <w:szCs w:val="24"/>
        </w:rPr>
      </w:pPr>
      <w:r>
        <w:rPr>
          <w:rFonts w:hAnsi="仿宋" w:cs="仿宋"/>
          <w:b/>
          <w:bCs/>
          <w:kern w:val="0"/>
          <w:sz w:val="24"/>
          <w:szCs w:val="24"/>
        </w:rPr>
        <w:t>12.</w:t>
      </w:r>
      <w:r>
        <w:rPr>
          <w:rFonts w:hint="eastAsia" w:hAnsi="仿宋" w:cs="仿宋"/>
          <w:b/>
          <w:bCs/>
          <w:kern w:val="0"/>
          <w:sz w:val="24"/>
          <w:szCs w:val="24"/>
        </w:rPr>
        <w:t>电表分区管理。</w:t>
      </w:r>
    </w:p>
    <w:p>
      <w:pPr>
        <w:spacing w:line="460" w:lineRule="exact"/>
        <w:ind w:firstLine="480" w:firstLineChars="200"/>
        <w:rPr>
          <w:rFonts w:hAnsi="仿宋" w:cs="仿宋"/>
          <w:bCs/>
          <w:kern w:val="0"/>
          <w:sz w:val="24"/>
          <w:szCs w:val="24"/>
        </w:rPr>
      </w:pPr>
      <w:r>
        <w:rPr>
          <w:rFonts w:hint="eastAsia" w:hAnsi="仿宋" w:cs="仿宋"/>
          <w:bCs/>
          <w:kern w:val="0"/>
          <w:sz w:val="24"/>
          <w:szCs w:val="24"/>
        </w:rPr>
        <w:t>根据电表所属不同区域进行分区管理，各区域只能查看及操作各自分区下的电表数据。同时各分区对接各自的网络支付链接进行单独结算，</w:t>
      </w:r>
      <w:r>
        <w:rPr>
          <w:rFonts w:hint="eastAsia" w:hAnsi="仿宋" w:cs="仿宋"/>
          <w:b/>
          <w:bCs/>
          <w:kern w:val="0"/>
          <w:sz w:val="24"/>
          <w:szCs w:val="24"/>
        </w:rPr>
        <w:t>预设分区数量不低于</w:t>
      </w:r>
      <w:r>
        <w:rPr>
          <w:rFonts w:hAnsi="仿宋" w:cs="仿宋"/>
          <w:b/>
          <w:bCs/>
          <w:kern w:val="0"/>
          <w:sz w:val="24"/>
          <w:szCs w:val="24"/>
        </w:rPr>
        <w:t>5个</w:t>
      </w:r>
      <w:r>
        <w:rPr>
          <w:rFonts w:hAnsi="仿宋" w:cs="仿宋"/>
          <w:bCs/>
          <w:kern w:val="0"/>
          <w:sz w:val="24"/>
          <w:szCs w:val="24"/>
        </w:rPr>
        <w:t>。</w:t>
      </w:r>
    </w:p>
    <w:p>
      <w:pPr>
        <w:pStyle w:val="2"/>
        <w:spacing w:after="0" w:line="460" w:lineRule="exact"/>
        <w:ind w:left="0" w:leftChars="0" w:firstLine="482"/>
        <w:rPr>
          <w:rFonts w:ascii="仿宋_GB2312" w:hAnsi="仿宋" w:eastAsia="仿宋_GB2312" w:cs="仿宋"/>
          <w:b/>
          <w:bCs/>
          <w:kern w:val="0"/>
          <w:sz w:val="24"/>
          <w:szCs w:val="24"/>
        </w:rPr>
      </w:pPr>
      <w:r>
        <w:rPr>
          <w:rFonts w:ascii="仿宋_GB2312" w:hAnsi="仿宋" w:eastAsia="仿宋_GB2312" w:cs="仿宋"/>
          <w:b/>
          <w:bCs/>
          <w:kern w:val="0"/>
          <w:sz w:val="24"/>
          <w:szCs w:val="24"/>
        </w:rPr>
        <w:t>13.系统</w:t>
      </w:r>
      <w:r>
        <w:rPr>
          <w:rFonts w:hint="eastAsia" w:ascii="仿宋_GB2312" w:hAnsi="仿宋" w:eastAsia="仿宋_GB2312" w:cs="仿宋"/>
          <w:b/>
          <w:bCs/>
          <w:kern w:val="0"/>
          <w:sz w:val="24"/>
          <w:szCs w:val="24"/>
        </w:rPr>
        <w:t>接口对接。</w:t>
      </w:r>
    </w:p>
    <w:p>
      <w:pPr>
        <w:pStyle w:val="2"/>
        <w:spacing w:after="0" w:line="460" w:lineRule="exact"/>
        <w:ind w:left="0" w:leftChars="0" w:firstLine="480"/>
        <w:rPr>
          <w:rFonts w:ascii="仿宋_GB2312" w:hAnsi="仿宋" w:eastAsia="仿宋_GB2312" w:cs="仿宋"/>
          <w:bCs/>
          <w:kern w:val="0"/>
          <w:sz w:val="24"/>
          <w:szCs w:val="24"/>
        </w:rPr>
      </w:pPr>
      <w:r>
        <w:rPr>
          <w:rFonts w:hint="eastAsia" w:ascii="仿宋_GB2312" w:hAnsi="仿宋" w:eastAsia="仿宋_GB2312" w:cs="仿宋"/>
          <w:bCs/>
          <w:kern w:val="0"/>
          <w:sz w:val="24"/>
          <w:szCs w:val="24"/>
        </w:rPr>
        <w:t>（1）与交运集团现有的物业租赁系统对接，实现电表档案自动同步。</w:t>
      </w:r>
    </w:p>
    <w:p>
      <w:pPr>
        <w:pStyle w:val="2"/>
        <w:spacing w:after="0" w:line="460" w:lineRule="exact"/>
        <w:ind w:left="0" w:leftChars="0" w:firstLine="480"/>
        <w:rPr>
          <w:rFonts w:ascii="仿宋_GB2312" w:hAnsi="仿宋" w:eastAsia="仿宋_GB2312" w:cs="仿宋"/>
          <w:bCs/>
          <w:kern w:val="0"/>
          <w:sz w:val="24"/>
          <w:szCs w:val="24"/>
        </w:rPr>
      </w:pPr>
      <w:r>
        <w:rPr>
          <w:rFonts w:hint="eastAsia" w:ascii="仿宋_GB2312" w:hAnsi="仿宋" w:eastAsia="仿宋_GB2312" w:cs="仿宋"/>
          <w:bCs/>
          <w:kern w:val="0"/>
          <w:sz w:val="24"/>
          <w:szCs w:val="24"/>
        </w:rPr>
        <w:t>（2）与交运集团现有物业租赁系统对接实现缴费时，获取电表状态信息，实现承租户手机自助缴费控制及状态消息反馈。</w:t>
      </w:r>
    </w:p>
    <w:p>
      <w:pPr>
        <w:spacing w:line="460" w:lineRule="exact"/>
        <w:ind w:firstLine="480" w:firstLineChars="200"/>
        <w:rPr>
          <w:rFonts w:ascii="楷体" w:hAnsi="楷体" w:eastAsia="楷体" w:cs="仿宋"/>
          <w:kern w:val="0"/>
          <w:sz w:val="24"/>
          <w:szCs w:val="24"/>
        </w:rPr>
      </w:pPr>
      <w:r>
        <w:rPr>
          <w:rFonts w:hint="eastAsia" w:ascii="楷体" w:hAnsi="楷体" w:eastAsia="楷体" w:cs="仿宋"/>
          <w:kern w:val="0"/>
          <w:sz w:val="24"/>
          <w:szCs w:val="24"/>
        </w:rPr>
        <w:t>（三）</w:t>
      </w:r>
      <w:r>
        <w:rPr>
          <w:rFonts w:ascii="楷体" w:hAnsi="楷体" w:eastAsia="楷体" w:cs="仿宋"/>
          <w:kern w:val="0"/>
          <w:sz w:val="24"/>
          <w:szCs w:val="24"/>
        </w:rPr>
        <w:t>设施设备</w:t>
      </w:r>
      <w:r>
        <w:rPr>
          <w:rFonts w:hint="eastAsia" w:ascii="楷体" w:hAnsi="楷体" w:eastAsia="楷体" w:cs="仿宋"/>
          <w:kern w:val="0"/>
          <w:sz w:val="24"/>
          <w:szCs w:val="24"/>
        </w:rPr>
        <w:t>。</w:t>
      </w:r>
    </w:p>
    <w:p>
      <w:pPr>
        <w:spacing w:line="460" w:lineRule="exact"/>
        <w:ind w:firstLine="480" w:firstLineChars="200"/>
        <w:rPr>
          <w:rFonts w:hAnsi="仿宋" w:cs="仿宋"/>
          <w:bCs/>
          <w:kern w:val="0"/>
          <w:sz w:val="24"/>
          <w:szCs w:val="24"/>
        </w:rPr>
      </w:pPr>
      <w:r>
        <w:rPr>
          <w:rFonts w:hint="eastAsia" w:hAnsi="仿宋" w:cs="仿宋"/>
          <w:bCs/>
          <w:kern w:val="0"/>
          <w:sz w:val="24"/>
          <w:szCs w:val="24"/>
        </w:rPr>
        <w:t>（1）</w:t>
      </w:r>
      <w:r>
        <w:rPr>
          <w:rFonts w:hAnsi="仿宋" w:cs="仿宋"/>
          <w:bCs/>
          <w:kern w:val="0"/>
          <w:sz w:val="24"/>
          <w:szCs w:val="24"/>
        </w:rPr>
        <w:t>本项目采购</w:t>
      </w:r>
      <w:r>
        <w:rPr>
          <w:rFonts w:hint="eastAsia" w:hAnsi="仿宋" w:cs="仿宋"/>
          <w:bCs/>
          <w:kern w:val="0"/>
          <w:sz w:val="24"/>
          <w:szCs w:val="24"/>
        </w:rPr>
        <w:t>的智能电表及采集器招标人推荐江苏林洋、武汉盛帆、青岛鼎信、杭州炬华、深圳航天泰瑞捷、湖南威胜集团等6个</w:t>
      </w:r>
      <w:r>
        <w:rPr>
          <w:rFonts w:hAnsi="仿宋" w:cs="仿宋"/>
          <w:bCs/>
          <w:kern w:val="0"/>
          <w:sz w:val="24"/>
          <w:szCs w:val="24"/>
        </w:rPr>
        <w:t>品牌</w:t>
      </w:r>
      <w:r>
        <w:rPr>
          <w:rFonts w:hint="eastAsia" w:hAnsi="仿宋" w:cs="仿宋"/>
          <w:bCs/>
          <w:kern w:val="0"/>
          <w:sz w:val="24"/>
          <w:szCs w:val="24"/>
        </w:rPr>
        <w:t>，</w:t>
      </w:r>
      <w:r>
        <w:rPr>
          <w:rFonts w:hAnsi="仿宋" w:cs="仿宋"/>
          <w:bCs/>
          <w:kern w:val="0"/>
          <w:sz w:val="24"/>
          <w:szCs w:val="24"/>
        </w:rPr>
        <w:t>投标</w:t>
      </w:r>
      <w:r>
        <w:rPr>
          <w:rFonts w:hint="eastAsia" w:hAnsi="仿宋" w:cs="仿宋"/>
          <w:bCs/>
          <w:kern w:val="0"/>
          <w:sz w:val="24"/>
          <w:szCs w:val="24"/>
        </w:rPr>
        <w:t>人应当参考所列品牌的设备，采购相当于或高于所列品牌技术标准设备。</w:t>
      </w:r>
    </w:p>
    <w:p>
      <w:pPr>
        <w:spacing w:line="460" w:lineRule="exact"/>
        <w:ind w:firstLine="480" w:firstLineChars="200"/>
        <w:rPr>
          <w:rFonts w:hAnsi="仿宋" w:cs="仿宋"/>
          <w:bCs/>
          <w:kern w:val="0"/>
          <w:sz w:val="24"/>
          <w:szCs w:val="24"/>
        </w:rPr>
      </w:pPr>
      <w:r>
        <w:rPr>
          <w:rFonts w:hint="eastAsia" w:hAnsi="仿宋" w:cs="仿宋"/>
          <w:bCs/>
          <w:kern w:val="0"/>
          <w:sz w:val="24"/>
          <w:szCs w:val="24"/>
        </w:rPr>
        <w:t>（2）本项目供应设备品牌厂家自2018年1月1日起未被列入国家电网供应商黑名单，且在国家电网供应商系统中未发生不良行为（以国家电网供应商不良行为通报为依据）。</w:t>
      </w:r>
    </w:p>
    <w:p>
      <w:pPr>
        <w:spacing w:line="460" w:lineRule="exact"/>
        <w:ind w:firstLine="480" w:firstLineChars="200"/>
        <w:rPr>
          <w:rFonts w:hAnsi="仿宋" w:cs="仿宋"/>
          <w:bCs/>
          <w:kern w:val="0"/>
          <w:sz w:val="24"/>
          <w:szCs w:val="24"/>
        </w:rPr>
      </w:pPr>
      <w:r>
        <w:rPr>
          <w:rFonts w:hint="eastAsia" w:hAnsi="仿宋" w:cs="仿宋"/>
          <w:bCs/>
          <w:kern w:val="0"/>
          <w:sz w:val="24"/>
          <w:szCs w:val="24"/>
        </w:rPr>
        <w:t>（</w:t>
      </w:r>
      <w:r>
        <w:rPr>
          <w:rFonts w:hAnsi="仿宋" w:cs="仿宋"/>
          <w:bCs/>
          <w:kern w:val="0"/>
          <w:sz w:val="24"/>
          <w:szCs w:val="24"/>
        </w:rPr>
        <w:t>3</w:t>
      </w:r>
      <w:r>
        <w:rPr>
          <w:rFonts w:hint="eastAsia" w:hAnsi="仿宋" w:cs="仿宋"/>
          <w:bCs/>
          <w:kern w:val="0"/>
          <w:sz w:val="24"/>
          <w:szCs w:val="24"/>
        </w:rPr>
        <w:t>）投标人所供应智能电表取得CPA证书，提供产品型式评价报告。</w:t>
      </w:r>
    </w:p>
    <w:p>
      <w:pPr>
        <w:spacing w:line="460" w:lineRule="exact"/>
        <w:ind w:firstLine="482" w:firstLineChars="200"/>
        <w:rPr>
          <w:rFonts w:hAnsi="仿宋" w:cs="仿宋"/>
          <w:b/>
          <w:bCs/>
          <w:kern w:val="0"/>
          <w:sz w:val="24"/>
          <w:szCs w:val="24"/>
        </w:rPr>
      </w:pPr>
      <w:r>
        <w:rPr>
          <w:rFonts w:hAnsi="仿宋" w:cs="仿宋"/>
          <w:b/>
          <w:bCs/>
          <w:kern w:val="0"/>
          <w:sz w:val="24"/>
          <w:szCs w:val="24"/>
        </w:rPr>
        <w:t>1.RS-485智能电表</w:t>
      </w:r>
      <w:r>
        <w:rPr>
          <w:rFonts w:hint="eastAsia" w:hAnsi="仿宋" w:cs="仿宋"/>
          <w:b/>
          <w:bCs/>
          <w:kern w:val="0"/>
          <w:sz w:val="24"/>
          <w:szCs w:val="24"/>
        </w:rPr>
        <w:t>。</w:t>
      </w:r>
    </w:p>
    <w:p>
      <w:pPr>
        <w:spacing w:line="460" w:lineRule="exact"/>
        <w:ind w:firstLine="480" w:firstLineChars="200"/>
        <w:rPr>
          <w:rFonts w:hAnsi="仿宋" w:cs="仿宋"/>
          <w:bCs/>
          <w:kern w:val="0"/>
          <w:sz w:val="24"/>
          <w:szCs w:val="24"/>
        </w:rPr>
      </w:pPr>
      <w:r>
        <w:rPr>
          <w:rFonts w:hint="eastAsia" w:hAnsi="仿宋" w:cs="仿宋"/>
          <w:bCs/>
          <w:kern w:val="0"/>
          <w:sz w:val="24"/>
          <w:szCs w:val="24"/>
        </w:rPr>
        <w:t>单相表及三相四线表精度不低于</w:t>
      </w:r>
      <w:r>
        <w:rPr>
          <w:rFonts w:hAnsi="仿宋" w:cs="仿宋"/>
          <w:bCs/>
          <w:kern w:val="0"/>
          <w:sz w:val="24"/>
          <w:szCs w:val="24"/>
        </w:rPr>
        <w:t>1级（1.5A互感线圈的为0.5级精度），</w:t>
      </w:r>
      <w:r>
        <w:rPr>
          <w:rFonts w:hint="eastAsia" w:hAnsi="仿宋" w:cs="仿宋"/>
          <w:bCs/>
          <w:kern w:val="0"/>
          <w:sz w:val="24"/>
          <w:szCs w:val="24"/>
        </w:rPr>
        <w:t>支持远程开闭合及费控、使用国标通信规约及传输协议、可内置远程传输模块（</w:t>
      </w:r>
      <w:r>
        <w:rPr>
          <w:rFonts w:hAnsi="仿宋" w:cs="仿宋"/>
          <w:bCs/>
          <w:kern w:val="0"/>
          <w:sz w:val="24"/>
          <w:szCs w:val="24"/>
        </w:rPr>
        <w:t>LoRa/NB-lot）。</w:t>
      </w:r>
    </w:p>
    <w:p>
      <w:pPr>
        <w:spacing w:line="460" w:lineRule="exact"/>
        <w:ind w:firstLine="482" w:firstLineChars="200"/>
        <w:rPr>
          <w:rFonts w:hAnsi="仿宋" w:cs="仿宋"/>
          <w:b/>
          <w:bCs/>
          <w:kern w:val="0"/>
          <w:sz w:val="24"/>
          <w:szCs w:val="24"/>
        </w:rPr>
      </w:pPr>
      <w:r>
        <w:rPr>
          <w:rFonts w:hAnsi="仿宋" w:cs="仿宋"/>
          <w:b/>
          <w:bCs/>
          <w:kern w:val="0"/>
          <w:sz w:val="24"/>
          <w:szCs w:val="24"/>
        </w:rPr>
        <w:t>2.</w:t>
      </w:r>
      <w:r>
        <w:rPr>
          <w:rFonts w:hint="eastAsia" w:hAnsi="仿宋" w:cs="仿宋"/>
          <w:b/>
          <w:bCs/>
          <w:kern w:val="0"/>
          <w:sz w:val="24"/>
          <w:szCs w:val="24"/>
        </w:rPr>
        <w:t>存量电表改造。</w:t>
      </w:r>
    </w:p>
    <w:p>
      <w:pPr>
        <w:spacing w:line="460" w:lineRule="exact"/>
        <w:ind w:firstLine="480" w:firstLineChars="200"/>
        <w:rPr>
          <w:rFonts w:hAnsi="仿宋" w:cs="仿宋"/>
          <w:bCs/>
          <w:kern w:val="0"/>
          <w:sz w:val="24"/>
          <w:szCs w:val="24"/>
        </w:rPr>
      </w:pPr>
      <w:r>
        <w:rPr>
          <w:rFonts w:hint="eastAsia" w:hAnsi="仿宋" w:cs="仿宋"/>
          <w:bCs/>
          <w:kern w:val="0"/>
          <w:sz w:val="24"/>
          <w:szCs w:val="24"/>
        </w:rPr>
        <w:t>对存量的</w:t>
      </w:r>
      <w:r>
        <w:rPr>
          <w:rFonts w:hAnsi="仿宋" w:cs="仿宋"/>
          <w:bCs/>
          <w:kern w:val="0"/>
          <w:sz w:val="24"/>
          <w:szCs w:val="24"/>
        </w:rPr>
        <w:t>46块山东“岳嘉”DDSH1599型多用户电能表改造利用，使其能通过RS-485接口远程传输电表数据及阀控，并将其接入用电管理系统统一进行管理。</w:t>
      </w:r>
    </w:p>
    <w:p>
      <w:pPr>
        <w:spacing w:line="460" w:lineRule="exact"/>
        <w:ind w:firstLine="482" w:firstLineChars="200"/>
        <w:rPr>
          <w:rFonts w:hAnsi="仿宋" w:cs="仿宋"/>
          <w:b/>
          <w:bCs/>
          <w:kern w:val="0"/>
          <w:sz w:val="24"/>
          <w:szCs w:val="24"/>
        </w:rPr>
      </w:pPr>
      <w:r>
        <w:rPr>
          <w:rFonts w:hAnsi="仿宋" w:cs="仿宋"/>
          <w:b/>
          <w:bCs/>
          <w:kern w:val="0"/>
          <w:sz w:val="24"/>
          <w:szCs w:val="24"/>
        </w:rPr>
        <w:t>3.RS-485转TCP集中器</w:t>
      </w:r>
      <w:r>
        <w:rPr>
          <w:rFonts w:hint="eastAsia" w:hAnsi="仿宋" w:cs="仿宋"/>
          <w:b/>
          <w:bCs/>
          <w:kern w:val="0"/>
          <w:sz w:val="24"/>
          <w:szCs w:val="24"/>
        </w:rPr>
        <w:t>。</w:t>
      </w:r>
    </w:p>
    <w:p>
      <w:pPr>
        <w:spacing w:line="460" w:lineRule="exact"/>
        <w:ind w:firstLine="480" w:firstLineChars="200"/>
        <w:rPr>
          <w:rFonts w:hAnsi="仿宋" w:cs="仿宋"/>
          <w:bCs/>
          <w:kern w:val="0"/>
          <w:sz w:val="24"/>
          <w:szCs w:val="24"/>
        </w:rPr>
      </w:pPr>
      <w:r>
        <w:rPr>
          <w:rFonts w:hint="eastAsia" w:hAnsi="仿宋" w:cs="仿宋"/>
          <w:bCs/>
          <w:kern w:val="0"/>
          <w:sz w:val="24"/>
          <w:szCs w:val="24"/>
        </w:rPr>
        <w:t>支持电表到服务器的通讯连接，下行两路</w:t>
      </w:r>
      <w:r>
        <w:rPr>
          <w:rFonts w:hAnsi="仿宋" w:cs="仿宋"/>
          <w:bCs/>
          <w:kern w:val="0"/>
          <w:sz w:val="24"/>
          <w:szCs w:val="24"/>
        </w:rPr>
        <w:t>RS-485，上行TCP/IP，单台设备连接不少于32台电表。</w:t>
      </w:r>
    </w:p>
    <w:p>
      <w:pPr>
        <w:spacing w:line="460" w:lineRule="exact"/>
        <w:ind w:firstLine="482" w:firstLineChars="200"/>
        <w:rPr>
          <w:rFonts w:hAnsi="仿宋" w:cs="仿宋"/>
          <w:b/>
          <w:bCs/>
          <w:kern w:val="0"/>
          <w:sz w:val="24"/>
          <w:szCs w:val="24"/>
        </w:rPr>
      </w:pPr>
      <w:r>
        <w:rPr>
          <w:rFonts w:hAnsi="仿宋" w:cs="仿宋"/>
          <w:b/>
          <w:bCs/>
          <w:kern w:val="0"/>
          <w:sz w:val="24"/>
          <w:szCs w:val="24"/>
        </w:rPr>
        <w:t>4.RS-485转LoRa采集器</w:t>
      </w:r>
      <w:r>
        <w:rPr>
          <w:rFonts w:hint="eastAsia" w:hAnsi="仿宋" w:cs="仿宋"/>
          <w:b/>
          <w:bCs/>
          <w:kern w:val="0"/>
          <w:sz w:val="24"/>
          <w:szCs w:val="24"/>
        </w:rPr>
        <w:t>。</w:t>
      </w:r>
    </w:p>
    <w:p>
      <w:pPr>
        <w:spacing w:line="460" w:lineRule="exact"/>
        <w:ind w:firstLine="480" w:firstLineChars="200"/>
        <w:rPr>
          <w:rFonts w:hAnsi="仿宋" w:cs="仿宋"/>
          <w:bCs/>
          <w:kern w:val="0"/>
          <w:sz w:val="24"/>
          <w:szCs w:val="24"/>
        </w:rPr>
      </w:pPr>
      <w:r>
        <w:rPr>
          <w:rFonts w:hint="eastAsia" w:hAnsi="仿宋" w:cs="仿宋"/>
          <w:bCs/>
          <w:kern w:val="0"/>
          <w:sz w:val="24"/>
          <w:szCs w:val="24"/>
        </w:rPr>
        <w:t>支持将</w:t>
      </w:r>
      <w:r>
        <w:rPr>
          <w:rFonts w:hAnsi="仿宋" w:cs="仿宋"/>
          <w:bCs/>
          <w:kern w:val="0"/>
          <w:sz w:val="24"/>
          <w:szCs w:val="24"/>
        </w:rPr>
        <w:t>RS-485连接的电表数据通过LoRa进行传输，采集器采取外置天线模式，下行两路RS-485、上行大功率LoRa，单台设备可连接不少于30台电表，支持中继转发，可通过LoRa或本地RS-485方式进行设备数据维护，LoRa数据支持645-2007、DLT645-1997和国标188协议。</w:t>
      </w:r>
    </w:p>
    <w:p>
      <w:pPr>
        <w:spacing w:line="460" w:lineRule="exact"/>
        <w:ind w:firstLine="482" w:firstLineChars="200"/>
        <w:rPr>
          <w:rFonts w:hAnsi="仿宋" w:cs="仿宋"/>
          <w:b/>
          <w:bCs/>
          <w:kern w:val="0"/>
          <w:sz w:val="24"/>
          <w:szCs w:val="24"/>
        </w:rPr>
      </w:pPr>
      <w:r>
        <w:rPr>
          <w:rFonts w:hAnsi="仿宋" w:cs="仿宋"/>
          <w:b/>
          <w:bCs/>
          <w:kern w:val="0"/>
          <w:sz w:val="24"/>
          <w:szCs w:val="24"/>
        </w:rPr>
        <w:t>5.LoRa转TCP集中器</w:t>
      </w:r>
      <w:r>
        <w:rPr>
          <w:rFonts w:hint="eastAsia" w:hAnsi="仿宋" w:cs="仿宋"/>
          <w:b/>
          <w:bCs/>
          <w:kern w:val="0"/>
          <w:sz w:val="24"/>
          <w:szCs w:val="24"/>
        </w:rPr>
        <w:t>。</w:t>
      </w:r>
    </w:p>
    <w:p>
      <w:pPr>
        <w:spacing w:line="460" w:lineRule="exact"/>
        <w:ind w:firstLine="480" w:firstLineChars="200"/>
        <w:rPr>
          <w:rFonts w:hAnsi="仿宋" w:cs="仿宋"/>
          <w:bCs/>
          <w:kern w:val="0"/>
          <w:sz w:val="24"/>
          <w:szCs w:val="24"/>
        </w:rPr>
      </w:pPr>
      <w:r>
        <w:rPr>
          <w:rFonts w:hint="eastAsia" w:hAnsi="仿宋" w:cs="仿宋"/>
          <w:bCs/>
          <w:kern w:val="0"/>
          <w:sz w:val="24"/>
          <w:szCs w:val="24"/>
        </w:rPr>
        <w:t>支持将采集的</w:t>
      </w:r>
      <w:r>
        <w:rPr>
          <w:rFonts w:hAnsi="仿宋" w:cs="仿宋"/>
          <w:bCs/>
          <w:kern w:val="0"/>
          <w:sz w:val="24"/>
          <w:szCs w:val="24"/>
        </w:rPr>
        <w:t>LoRa信号转换成TCP传输至服务器，下行LoRa、上行TCP/IP。</w:t>
      </w:r>
    </w:p>
    <w:p>
      <w:pPr>
        <w:spacing w:line="460" w:lineRule="exact"/>
        <w:ind w:firstLine="482" w:firstLineChars="200"/>
        <w:rPr>
          <w:rFonts w:hAnsi="仿宋" w:cs="仿宋"/>
          <w:b/>
          <w:bCs/>
          <w:kern w:val="0"/>
          <w:sz w:val="24"/>
          <w:szCs w:val="24"/>
        </w:rPr>
      </w:pPr>
      <w:r>
        <w:rPr>
          <w:rFonts w:hAnsi="仿宋" w:cs="仿宋"/>
          <w:b/>
          <w:bCs/>
          <w:kern w:val="0"/>
          <w:sz w:val="24"/>
          <w:szCs w:val="24"/>
        </w:rPr>
        <w:t>6.</w:t>
      </w:r>
      <w:r>
        <w:rPr>
          <w:rFonts w:hint="eastAsia" w:hAnsi="仿宋" w:cs="仿宋"/>
          <w:b/>
          <w:bCs/>
          <w:kern w:val="0"/>
          <w:sz w:val="24"/>
          <w:szCs w:val="24"/>
        </w:rPr>
        <w:t>电表内置</w:t>
      </w:r>
      <w:r>
        <w:rPr>
          <w:rFonts w:hAnsi="仿宋" w:cs="仿宋"/>
          <w:b/>
          <w:bCs/>
          <w:kern w:val="0"/>
          <w:sz w:val="24"/>
          <w:szCs w:val="24"/>
        </w:rPr>
        <w:t>LoRa模块</w:t>
      </w:r>
      <w:r>
        <w:rPr>
          <w:rFonts w:hint="eastAsia" w:hAnsi="仿宋" w:cs="仿宋"/>
          <w:b/>
          <w:bCs/>
          <w:kern w:val="0"/>
          <w:sz w:val="24"/>
          <w:szCs w:val="24"/>
        </w:rPr>
        <w:t>。</w:t>
      </w:r>
    </w:p>
    <w:p>
      <w:pPr>
        <w:spacing w:line="460" w:lineRule="exact"/>
        <w:ind w:firstLine="480" w:firstLineChars="200"/>
        <w:rPr>
          <w:rFonts w:hAnsi="仿宋" w:cs="仿宋"/>
          <w:bCs/>
          <w:kern w:val="0"/>
          <w:sz w:val="24"/>
          <w:szCs w:val="24"/>
        </w:rPr>
      </w:pPr>
      <w:r>
        <w:rPr>
          <w:rFonts w:hAnsi="仿宋" w:cs="仿宋"/>
          <w:bCs/>
          <w:kern w:val="0"/>
          <w:sz w:val="24"/>
          <w:szCs w:val="24"/>
        </w:rPr>
        <w:t>RS-485智能电表内置模块，可大功率输出，可选择外置天线，支持热插拔，LoRa数据支持645-2007、DLT645-1997和国标188协议。</w:t>
      </w:r>
    </w:p>
    <w:p>
      <w:pPr>
        <w:spacing w:line="460" w:lineRule="exact"/>
        <w:ind w:firstLine="482" w:firstLineChars="200"/>
        <w:rPr>
          <w:rFonts w:hAnsi="仿宋" w:cs="仿宋"/>
          <w:b/>
          <w:bCs/>
          <w:kern w:val="0"/>
          <w:sz w:val="24"/>
          <w:szCs w:val="24"/>
        </w:rPr>
      </w:pPr>
      <w:r>
        <w:rPr>
          <w:rFonts w:hAnsi="仿宋" w:cs="仿宋"/>
          <w:b/>
          <w:bCs/>
          <w:kern w:val="0"/>
          <w:sz w:val="24"/>
          <w:szCs w:val="24"/>
        </w:rPr>
        <w:t>7.</w:t>
      </w:r>
      <w:r>
        <w:rPr>
          <w:rFonts w:hint="eastAsia" w:hAnsi="仿宋" w:cs="仿宋"/>
          <w:b/>
          <w:bCs/>
          <w:kern w:val="0"/>
          <w:sz w:val="24"/>
          <w:szCs w:val="24"/>
        </w:rPr>
        <w:t>电表内置</w:t>
      </w:r>
      <w:r>
        <w:rPr>
          <w:rFonts w:hAnsi="仿宋" w:cs="仿宋"/>
          <w:b/>
          <w:bCs/>
          <w:kern w:val="0"/>
          <w:sz w:val="24"/>
          <w:szCs w:val="24"/>
        </w:rPr>
        <w:t>NB-lot模块</w:t>
      </w:r>
      <w:r>
        <w:rPr>
          <w:rFonts w:hint="eastAsia" w:hAnsi="仿宋" w:cs="仿宋"/>
          <w:b/>
          <w:bCs/>
          <w:kern w:val="0"/>
          <w:sz w:val="24"/>
          <w:szCs w:val="24"/>
        </w:rPr>
        <w:t>。</w:t>
      </w:r>
    </w:p>
    <w:p>
      <w:pPr>
        <w:spacing w:line="460" w:lineRule="exact"/>
        <w:ind w:firstLine="480" w:firstLineChars="200"/>
        <w:rPr>
          <w:rFonts w:hAnsi="仿宋" w:cs="仿宋"/>
          <w:bCs/>
          <w:kern w:val="0"/>
          <w:sz w:val="24"/>
          <w:szCs w:val="24"/>
        </w:rPr>
      </w:pPr>
      <w:r>
        <w:rPr>
          <w:rFonts w:hAnsi="仿宋" w:cs="仿宋"/>
          <w:bCs/>
          <w:kern w:val="0"/>
          <w:sz w:val="24"/>
          <w:szCs w:val="24"/>
        </w:rPr>
        <w:t>RS-485智能电表内置模块，支持热插拔，支持各大运营商NB网络，模块含流量卡，且包含不少于6年流量资费。6年资费到期后，单个流量卡续费不高于20元/年。</w:t>
      </w:r>
    </w:p>
    <w:p>
      <w:pPr>
        <w:spacing w:line="460" w:lineRule="exact"/>
        <w:ind w:firstLine="480" w:firstLineChars="200"/>
        <w:rPr>
          <w:rFonts w:ascii="楷体" w:hAnsi="楷体" w:eastAsia="楷体" w:cs="仿宋"/>
          <w:bCs/>
          <w:kern w:val="0"/>
          <w:sz w:val="24"/>
          <w:szCs w:val="24"/>
        </w:rPr>
      </w:pPr>
      <w:r>
        <w:rPr>
          <w:rFonts w:hint="eastAsia" w:ascii="楷体" w:hAnsi="楷体" w:eastAsia="楷体" w:cs="仿宋"/>
          <w:bCs/>
          <w:kern w:val="0"/>
          <w:sz w:val="24"/>
          <w:szCs w:val="24"/>
        </w:rPr>
        <w:t>（四）系统搭建。</w:t>
      </w:r>
    </w:p>
    <w:p>
      <w:pPr>
        <w:spacing w:line="460" w:lineRule="exact"/>
        <w:ind w:firstLine="480" w:firstLineChars="200"/>
        <w:rPr>
          <w:rFonts w:hAnsi="仿宋" w:cs="仿宋"/>
          <w:bCs/>
          <w:kern w:val="0"/>
          <w:sz w:val="24"/>
          <w:szCs w:val="24"/>
        </w:rPr>
      </w:pPr>
      <w:r>
        <w:rPr>
          <w:rFonts w:hint="eastAsia" w:hAnsi="仿宋" w:cs="仿宋"/>
          <w:bCs/>
          <w:kern w:val="0"/>
          <w:sz w:val="24"/>
          <w:szCs w:val="24"/>
        </w:rPr>
        <w:t>本项目要求所有数据库及应用系统全部本地部署，甲方提供</w:t>
      </w:r>
      <w:r>
        <w:rPr>
          <w:rFonts w:hAnsi="仿宋" w:cs="仿宋"/>
          <w:bCs/>
          <w:kern w:val="0"/>
          <w:sz w:val="24"/>
          <w:szCs w:val="24"/>
        </w:rPr>
        <w:t>X86构架服务器及相应的网络机房设备。系统除满足</w:t>
      </w:r>
      <w:r>
        <w:rPr>
          <w:rFonts w:hint="eastAsia" w:hAnsi="仿宋" w:cs="仿宋"/>
          <w:bCs/>
          <w:kern w:val="0"/>
          <w:sz w:val="24"/>
          <w:szCs w:val="24"/>
        </w:rPr>
        <w:t>升级</w:t>
      </w:r>
      <w:r>
        <w:rPr>
          <w:rFonts w:hAnsi="仿宋" w:cs="仿宋"/>
          <w:bCs/>
          <w:kern w:val="0"/>
          <w:sz w:val="24"/>
          <w:szCs w:val="24"/>
        </w:rPr>
        <w:t>改造项目需求外，还</w:t>
      </w:r>
      <w:r>
        <w:rPr>
          <w:rFonts w:hint="eastAsia" w:hAnsi="仿宋" w:cs="仿宋"/>
          <w:bCs/>
          <w:kern w:val="0"/>
          <w:sz w:val="24"/>
          <w:szCs w:val="24"/>
        </w:rPr>
        <w:t>应</w:t>
      </w:r>
      <w:r>
        <w:rPr>
          <w:rFonts w:hAnsi="仿宋" w:cs="仿宋"/>
          <w:bCs/>
          <w:kern w:val="0"/>
          <w:sz w:val="24"/>
          <w:szCs w:val="24"/>
        </w:rPr>
        <w:t>满足二次开发的便利及对接集团现有OA系统</w:t>
      </w:r>
      <w:r>
        <w:rPr>
          <w:rFonts w:hint="eastAsia" w:hAnsi="仿宋" w:cs="仿宋"/>
          <w:bCs/>
          <w:kern w:val="0"/>
          <w:sz w:val="24"/>
          <w:szCs w:val="24"/>
        </w:rPr>
        <w:t>（物业租赁系统）的需求。</w:t>
      </w:r>
    </w:p>
    <w:p>
      <w:pPr>
        <w:spacing w:line="460" w:lineRule="exact"/>
        <w:ind w:firstLine="480" w:firstLineChars="200"/>
        <w:rPr>
          <w:rFonts w:ascii="楷体" w:hAnsi="楷体" w:eastAsia="楷体" w:cs="仿宋"/>
          <w:bCs/>
          <w:kern w:val="0"/>
          <w:sz w:val="24"/>
          <w:szCs w:val="24"/>
        </w:rPr>
      </w:pPr>
      <w:r>
        <w:rPr>
          <w:rFonts w:hint="eastAsia" w:ascii="楷体" w:hAnsi="楷体" w:eastAsia="楷体" w:cs="仿宋"/>
          <w:bCs/>
          <w:kern w:val="0"/>
          <w:sz w:val="24"/>
          <w:szCs w:val="24"/>
        </w:rPr>
        <w:t>（五）现场施工。</w:t>
      </w:r>
    </w:p>
    <w:p>
      <w:pPr>
        <w:spacing w:line="460" w:lineRule="exact"/>
        <w:ind w:firstLine="480" w:firstLineChars="200"/>
        <w:rPr>
          <w:rFonts w:ascii="仿宋" w:hAnsi="仿宋" w:eastAsia="仿宋" w:cs="仿宋"/>
          <w:bCs/>
          <w:kern w:val="0"/>
          <w:sz w:val="24"/>
          <w:szCs w:val="24"/>
        </w:rPr>
      </w:pPr>
      <w:r>
        <w:rPr>
          <w:rFonts w:hint="eastAsia" w:ascii="仿宋" w:hAnsi="仿宋" w:eastAsia="仿宋" w:cs="仿宋"/>
          <w:bCs/>
          <w:kern w:val="0"/>
          <w:sz w:val="24"/>
          <w:szCs w:val="24"/>
        </w:rPr>
        <w:t>本</w:t>
      </w:r>
      <w:r>
        <w:rPr>
          <w:rFonts w:ascii="仿宋" w:hAnsi="仿宋" w:eastAsia="仿宋" w:cs="仿宋"/>
          <w:bCs/>
          <w:kern w:val="0"/>
          <w:sz w:val="24"/>
          <w:szCs w:val="24"/>
        </w:rPr>
        <w:t>项目</w:t>
      </w:r>
      <w:r>
        <w:rPr>
          <w:rFonts w:hint="eastAsia" w:ascii="仿宋" w:hAnsi="仿宋" w:eastAsia="仿宋" w:cs="仿宋"/>
          <w:bCs/>
          <w:kern w:val="0"/>
          <w:sz w:val="24"/>
          <w:szCs w:val="24"/>
        </w:rPr>
        <w:t>现场施工涉及新增设施设备的安装、布线、连接、调试等一些施工内容，直至设施设备与管理系统连接后正常运行。</w:t>
      </w:r>
    </w:p>
    <w:p>
      <w:pPr>
        <w:spacing w:line="460" w:lineRule="exact"/>
        <w:ind w:firstLine="480" w:firstLineChars="200"/>
        <w:rPr>
          <w:rFonts w:ascii="仿宋" w:hAnsi="仿宋" w:eastAsia="仿宋" w:cs="仿宋"/>
          <w:bCs/>
          <w:kern w:val="0"/>
          <w:sz w:val="24"/>
          <w:szCs w:val="24"/>
        </w:rPr>
      </w:pPr>
      <w:r>
        <w:rPr>
          <w:rFonts w:ascii="仿宋" w:hAnsi="仿宋" w:eastAsia="仿宋" w:cs="仿宋"/>
          <w:bCs/>
          <w:kern w:val="0"/>
          <w:sz w:val="24"/>
          <w:szCs w:val="24"/>
        </w:rPr>
        <w:t>施工地点包括：</w:t>
      </w:r>
      <w:r>
        <w:rPr>
          <w:rFonts w:hint="eastAsia" w:ascii="仿宋" w:hAnsi="仿宋" w:eastAsia="仿宋" w:cs="仿宋"/>
          <w:bCs/>
          <w:kern w:val="0"/>
          <w:sz w:val="24"/>
          <w:szCs w:val="24"/>
        </w:rPr>
        <w:t>东站物流中心园区（宜昌市伍家岗区东艳路</w:t>
      </w:r>
      <w:r>
        <w:rPr>
          <w:rFonts w:ascii="仿宋" w:hAnsi="仿宋" w:eastAsia="仿宋" w:cs="仿宋"/>
          <w:bCs/>
          <w:kern w:val="0"/>
          <w:sz w:val="24"/>
          <w:szCs w:val="24"/>
        </w:rPr>
        <w:t>48号</w:t>
      </w:r>
      <w:r>
        <w:rPr>
          <w:rFonts w:hint="eastAsia" w:ascii="仿宋" w:hAnsi="仿宋" w:eastAsia="仿宋" w:cs="仿宋"/>
          <w:bCs/>
          <w:kern w:val="0"/>
          <w:sz w:val="24"/>
          <w:szCs w:val="24"/>
        </w:rPr>
        <w:t>）、伍家区港窑路5号汽贸城院内、伍家区港窑路4号、伍家区三峡游客中心、伍家区夷陵大道1</w:t>
      </w:r>
      <w:r>
        <w:rPr>
          <w:rFonts w:ascii="仿宋" w:hAnsi="仿宋" w:eastAsia="仿宋" w:cs="仿宋"/>
          <w:bCs/>
          <w:kern w:val="0"/>
          <w:sz w:val="24"/>
          <w:szCs w:val="24"/>
        </w:rPr>
        <w:t>24</w:t>
      </w:r>
      <w:r>
        <w:rPr>
          <w:rFonts w:hint="eastAsia" w:ascii="仿宋" w:hAnsi="仿宋" w:eastAsia="仿宋" w:cs="仿宋"/>
          <w:bCs/>
          <w:kern w:val="0"/>
          <w:sz w:val="24"/>
          <w:szCs w:val="24"/>
        </w:rPr>
        <w:t>号、伍家区花艳路3号长途中心站、西陵区果园二路长途车站、西陵区东山大道</w:t>
      </w:r>
      <w:r>
        <w:rPr>
          <w:rFonts w:ascii="仿宋" w:hAnsi="仿宋" w:eastAsia="仿宋" w:cs="仿宋"/>
          <w:bCs/>
          <w:kern w:val="0"/>
          <w:sz w:val="24"/>
          <w:szCs w:val="24"/>
        </w:rPr>
        <w:t>102</w:t>
      </w:r>
      <w:r>
        <w:rPr>
          <w:rFonts w:hint="eastAsia" w:ascii="仿宋" w:hAnsi="仿宋" w:eastAsia="仿宋" w:cs="仿宋"/>
          <w:bCs/>
          <w:kern w:val="0"/>
          <w:sz w:val="24"/>
          <w:szCs w:val="24"/>
        </w:rPr>
        <w:t>号海通车站、西陵区绿萝路1号、开发区发展大道启辰4</w:t>
      </w:r>
      <w:r>
        <w:rPr>
          <w:rFonts w:ascii="仿宋" w:hAnsi="仿宋" w:eastAsia="仿宋" w:cs="仿宋"/>
          <w:bCs/>
          <w:kern w:val="0"/>
          <w:sz w:val="24"/>
          <w:szCs w:val="24"/>
        </w:rPr>
        <w:t>S</w:t>
      </w:r>
      <w:r>
        <w:rPr>
          <w:rFonts w:hint="eastAsia" w:ascii="仿宋" w:hAnsi="仿宋" w:eastAsia="仿宋" w:cs="仿宋"/>
          <w:bCs/>
          <w:kern w:val="0"/>
          <w:sz w:val="24"/>
          <w:szCs w:val="24"/>
        </w:rPr>
        <w:t>店楼上、夷陵区小溪塔夷陵路4</w:t>
      </w:r>
      <w:r>
        <w:rPr>
          <w:rFonts w:ascii="仿宋" w:hAnsi="仿宋" w:eastAsia="仿宋" w:cs="仿宋"/>
          <w:bCs/>
          <w:kern w:val="0"/>
          <w:sz w:val="24"/>
          <w:szCs w:val="24"/>
        </w:rPr>
        <w:t>7</w:t>
      </w:r>
      <w:r>
        <w:rPr>
          <w:rFonts w:hint="eastAsia" w:ascii="仿宋" w:hAnsi="仿宋" w:eastAsia="仿宋" w:cs="仿宋"/>
          <w:bCs/>
          <w:kern w:val="0"/>
          <w:sz w:val="24"/>
          <w:szCs w:val="24"/>
        </w:rPr>
        <w:t>号夷陵客运公司、</w:t>
      </w:r>
      <w:r>
        <w:rPr>
          <w:rFonts w:hint="eastAsia" w:ascii="仿宋" w:hAnsi="仿宋" w:eastAsia="仿宋" w:cs="微软雅黑"/>
          <w:bCs/>
          <w:kern w:val="0"/>
          <w:sz w:val="24"/>
          <w:szCs w:val="24"/>
        </w:rPr>
        <w:t>猇</w:t>
      </w:r>
      <w:r>
        <w:rPr>
          <w:rFonts w:hint="eastAsia" w:ascii="仿宋" w:hAnsi="仿宋" w:eastAsia="仿宋" w:cs="仿宋"/>
          <w:bCs/>
          <w:kern w:val="0"/>
          <w:sz w:val="24"/>
          <w:szCs w:val="24"/>
        </w:rPr>
        <w:t>亭区</w:t>
      </w:r>
      <w:r>
        <w:rPr>
          <w:rFonts w:hint="eastAsia" w:ascii="仿宋" w:hAnsi="仿宋" w:eastAsia="仿宋" w:cs="微软雅黑"/>
          <w:bCs/>
          <w:kern w:val="0"/>
          <w:sz w:val="24"/>
          <w:szCs w:val="24"/>
        </w:rPr>
        <w:t>猇</w:t>
      </w:r>
      <w:r>
        <w:rPr>
          <w:rFonts w:hint="eastAsia" w:ascii="仿宋" w:hAnsi="仿宋" w:eastAsia="仿宋" w:cs="仿宋"/>
          <w:bCs/>
          <w:kern w:val="0"/>
          <w:sz w:val="24"/>
          <w:szCs w:val="24"/>
        </w:rPr>
        <w:t>亭大道</w:t>
      </w:r>
      <w:r>
        <w:rPr>
          <w:rFonts w:ascii="仿宋" w:hAnsi="仿宋" w:eastAsia="仿宋" w:cs="仿宋"/>
          <w:bCs/>
          <w:kern w:val="0"/>
          <w:sz w:val="24"/>
          <w:szCs w:val="24"/>
        </w:rPr>
        <w:t>162</w:t>
      </w:r>
      <w:r>
        <w:rPr>
          <w:rFonts w:hint="eastAsia" w:ascii="仿宋" w:hAnsi="仿宋" w:eastAsia="仿宋" w:cs="仿宋"/>
          <w:bCs/>
          <w:kern w:val="0"/>
          <w:sz w:val="24"/>
          <w:szCs w:val="24"/>
        </w:rPr>
        <w:t>号</w:t>
      </w:r>
      <w:r>
        <w:rPr>
          <w:rFonts w:hint="eastAsia" w:ascii="仿宋" w:hAnsi="仿宋" w:eastAsia="仿宋" w:cs="微软雅黑"/>
          <w:bCs/>
          <w:kern w:val="0"/>
          <w:sz w:val="24"/>
          <w:szCs w:val="24"/>
        </w:rPr>
        <w:t>猇</w:t>
      </w:r>
      <w:r>
        <w:rPr>
          <w:rFonts w:hint="eastAsia" w:ascii="仿宋" w:hAnsi="仿宋" w:eastAsia="仿宋" w:cs="仿宋"/>
          <w:bCs/>
          <w:kern w:val="0"/>
          <w:sz w:val="24"/>
          <w:szCs w:val="24"/>
        </w:rPr>
        <w:t>亭车站、松滋、宜都、兴山、五峰、恩施</w:t>
      </w:r>
      <w:r>
        <w:rPr>
          <w:rFonts w:ascii="仿宋" w:hAnsi="仿宋" w:eastAsia="仿宋" w:cs="仿宋"/>
          <w:bCs/>
          <w:kern w:val="0"/>
          <w:sz w:val="24"/>
          <w:szCs w:val="24"/>
        </w:rPr>
        <w:t>等</w:t>
      </w:r>
      <w:r>
        <w:rPr>
          <w:rFonts w:hint="eastAsia" w:ascii="仿宋" w:hAnsi="仿宋" w:eastAsia="仿宋" w:cs="仿宋"/>
          <w:bCs/>
          <w:kern w:val="0"/>
          <w:sz w:val="24"/>
          <w:szCs w:val="24"/>
        </w:rPr>
        <w:t>交运集团所属场</w:t>
      </w:r>
      <w:r>
        <w:rPr>
          <w:rFonts w:ascii="仿宋" w:hAnsi="仿宋" w:eastAsia="仿宋" w:cs="仿宋"/>
          <w:bCs/>
          <w:kern w:val="0"/>
          <w:sz w:val="24"/>
          <w:szCs w:val="24"/>
        </w:rPr>
        <w:t>地</w:t>
      </w:r>
      <w:r>
        <w:rPr>
          <w:rFonts w:hint="eastAsia" w:ascii="仿宋" w:hAnsi="仿宋" w:eastAsia="仿宋" w:cs="仿宋"/>
          <w:bCs/>
          <w:kern w:val="0"/>
          <w:sz w:val="24"/>
          <w:szCs w:val="24"/>
        </w:rPr>
        <w:t>。</w:t>
      </w:r>
    </w:p>
    <w:p>
      <w:pPr>
        <w:spacing w:line="480" w:lineRule="exact"/>
        <w:ind w:firstLine="480" w:firstLineChars="200"/>
        <w:rPr>
          <w:rFonts w:ascii="楷体" w:hAnsi="楷体" w:eastAsia="楷体" w:cs="仿宋"/>
          <w:bCs/>
          <w:kern w:val="0"/>
          <w:sz w:val="24"/>
          <w:szCs w:val="24"/>
        </w:rPr>
      </w:pPr>
      <w:r>
        <w:rPr>
          <w:rFonts w:hint="eastAsia" w:ascii="楷体" w:hAnsi="楷体" w:eastAsia="楷体" w:cs="仿宋"/>
          <w:bCs/>
          <w:kern w:val="0"/>
          <w:sz w:val="24"/>
          <w:szCs w:val="24"/>
        </w:rPr>
        <w:t>（六）标准规范。</w:t>
      </w:r>
    </w:p>
    <w:p>
      <w:pPr>
        <w:pStyle w:val="21"/>
        <w:spacing w:after="0" w:line="470" w:lineRule="exact"/>
        <w:ind w:firstLine="480" w:firstLineChars="200"/>
        <w:rPr>
          <w:rFonts w:ascii="仿宋" w:hAnsi="仿宋" w:eastAsia="仿宋" w:cs="仿宋"/>
          <w:color w:val="000000"/>
          <w:kern w:val="0"/>
          <w:sz w:val="24"/>
        </w:rPr>
      </w:pPr>
      <w:r>
        <w:rPr>
          <w:rFonts w:ascii="仿宋" w:hAnsi="仿宋" w:eastAsia="仿宋" w:cs="仿宋"/>
          <w:color w:val="000000"/>
          <w:kern w:val="0"/>
          <w:sz w:val="24"/>
        </w:rPr>
        <w:t>ISO9001质量管理体系认证证书</w:t>
      </w:r>
    </w:p>
    <w:p>
      <w:pPr>
        <w:pStyle w:val="21"/>
        <w:spacing w:after="0" w:line="470" w:lineRule="exact"/>
        <w:ind w:firstLine="480" w:firstLineChars="200"/>
        <w:rPr>
          <w:rFonts w:ascii="仿宋" w:hAnsi="仿宋" w:eastAsia="仿宋" w:cs="仿宋"/>
          <w:color w:val="000000"/>
          <w:kern w:val="0"/>
          <w:sz w:val="24"/>
        </w:rPr>
      </w:pPr>
      <w:r>
        <w:rPr>
          <w:rFonts w:ascii="仿宋" w:hAnsi="仿宋" w:eastAsia="仿宋" w:cs="仿宋"/>
          <w:color w:val="000000"/>
          <w:kern w:val="0"/>
          <w:sz w:val="24"/>
        </w:rPr>
        <w:t>ISO27001信息安全管理体系认证证书</w:t>
      </w:r>
    </w:p>
    <w:p>
      <w:pPr>
        <w:pStyle w:val="21"/>
        <w:spacing w:after="0" w:line="470" w:lineRule="exact"/>
        <w:ind w:firstLine="480" w:firstLineChars="200"/>
        <w:rPr>
          <w:rFonts w:ascii="仿宋" w:hAnsi="仿宋" w:eastAsia="仿宋" w:cs="仿宋"/>
          <w:color w:val="000000"/>
          <w:kern w:val="0"/>
          <w:sz w:val="24"/>
        </w:rPr>
      </w:pPr>
      <w:r>
        <w:rPr>
          <w:rFonts w:ascii="仿宋" w:hAnsi="仿宋" w:eastAsia="仿宋" w:cs="仿宋"/>
          <w:color w:val="000000"/>
          <w:kern w:val="0"/>
          <w:sz w:val="24"/>
        </w:rPr>
        <w:t>ISO14001环境管理体系认证证书</w:t>
      </w:r>
    </w:p>
    <w:p>
      <w:pPr>
        <w:pStyle w:val="21"/>
        <w:spacing w:after="0" w:line="470" w:lineRule="exact"/>
        <w:ind w:firstLine="480" w:firstLineChars="200"/>
        <w:rPr>
          <w:rFonts w:ascii="仿宋" w:hAnsi="仿宋" w:eastAsia="仿宋" w:cs="仿宋"/>
          <w:color w:val="000000"/>
          <w:kern w:val="0"/>
          <w:sz w:val="24"/>
        </w:rPr>
      </w:pPr>
      <w:r>
        <w:rPr>
          <w:rFonts w:ascii="仿宋" w:hAnsi="仿宋" w:eastAsia="仿宋" w:cs="仿宋"/>
          <w:color w:val="000000"/>
          <w:kern w:val="0"/>
          <w:sz w:val="24"/>
        </w:rPr>
        <w:t>OHSAS18001职业健康安全管理体系认证证书</w:t>
      </w:r>
    </w:p>
    <w:p>
      <w:pPr>
        <w:pStyle w:val="21"/>
        <w:spacing w:after="0" w:line="470" w:lineRule="exact"/>
        <w:ind w:firstLine="480" w:firstLineChars="200"/>
        <w:rPr>
          <w:rFonts w:ascii="仿宋" w:hAnsi="仿宋" w:eastAsia="仿宋" w:cs="仿宋"/>
          <w:color w:val="000000"/>
          <w:kern w:val="0"/>
          <w:sz w:val="24"/>
        </w:rPr>
      </w:pPr>
      <w:r>
        <w:rPr>
          <w:rFonts w:ascii="仿宋" w:hAnsi="仿宋" w:eastAsia="仿宋" w:cs="仿宋"/>
          <w:color w:val="000000"/>
          <w:kern w:val="0"/>
          <w:sz w:val="24"/>
        </w:rPr>
        <w:t>ISO20000信息技术服务管理体系认证证书</w:t>
      </w:r>
    </w:p>
    <w:p>
      <w:pPr>
        <w:pStyle w:val="21"/>
        <w:spacing w:after="0" w:line="47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《电能计量装置技术管理规程》（</w:t>
      </w:r>
      <w:r>
        <w:rPr>
          <w:rFonts w:ascii="仿宋" w:hAnsi="仿宋" w:eastAsia="仿宋" w:cs="仿宋"/>
          <w:color w:val="000000"/>
          <w:kern w:val="0"/>
          <w:sz w:val="24"/>
        </w:rPr>
        <w:t>DL/T 448-2016）</w:t>
      </w:r>
    </w:p>
    <w:p>
      <w:pPr>
        <w:pStyle w:val="21"/>
        <w:spacing w:after="0" w:line="47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《多功能电能表》（</w:t>
      </w:r>
      <w:r>
        <w:rPr>
          <w:rFonts w:ascii="仿宋" w:hAnsi="仿宋" w:eastAsia="仿宋" w:cs="仿宋"/>
          <w:color w:val="000000"/>
          <w:kern w:val="0"/>
          <w:sz w:val="24"/>
        </w:rPr>
        <w:t>DL/T 614-2007）</w:t>
      </w:r>
    </w:p>
    <w:p>
      <w:pPr>
        <w:pStyle w:val="21"/>
        <w:spacing w:after="0" w:line="47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《多功能电能表通信协议》（</w:t>
      </w:r>
      <w:r>
        <w:rPr>
          <w:rFonts w:ascii="仿宋" w:hAnsi="仿宋" w:eastAsia="仿宋" w:cs="仿宋"/>
          <w:color w:val="000000"/>
          <w:kern w:val="0"/>
          <w:sz w:val="24"/>
        </w:rPr>
        <w:t>DL/T 645-2007）</w:t>
      </w:r>
    </w:p>
    <w:p>
      <w:pPr>
        <w:pStyle w:val="21"/>
        <w:spacing w:after="0" w:line="47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《三相智能电能表技术规范》（</w:t>
      </w:r>
      <w:r>
        <w:rPr>
          <w:rFonts w:ascii="仿宋" w:hAnsi="仿宋" w:eastAsia="仿宋" w:cs="仿宋"/>
          <w:color w:val="000000"/>
          <w:kern w:val="0"/>
          <w:sz w:val="24"/>
        </w:rPr>
        <w:t>DL/T 1485-2015）</w:t>
      </w:r>
    </w:p>
    <w:p>
      <w:pPr>
        <w:pStyle w:val="21"/>
        <w:spacing w:after="0" w:line="47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《单相智能电能表技术规范》（</w:t>
      </w:r>
      <w:r>
        <w:rPr>
          <w:rFonts w:ascii="仿宋" w:hAnsi="仿宋" w:eastAsia="仿宋" w:cs="仿宋"/>
          <w:color w:val="000000"/>
          <w:kern w:val="0"/>
          <w:sz w:val="24"/>
        </w:rPr>
        <w:t>DL/T 1487-2015）（仅针对 G表）</w:t>
      </w:r>
    </w:p>
    <w:p>
      <w:pPr>
        <w:pStyle w:val="21"/>
        <w:spacing w:after="0" w:line="47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《单相智能电能表型式规范》（</w:t>
      </w:r>
      <w:r>
        <w:rPr>
          <w:rFonts w:ascii="仿宋" w:hAnsi="仿宋" w:eastAsia="仿宋" w:cs="仿宋"/>
          <w:color w:val="000000"/>
          <w:kern w:val="0"/>
          <w:sz w:val="24"/>
        </w:rPr>
        <w:t>DL/T 1488-2015）（仅针对 G表）</w:t>
      </w:r>
    </w:p>
    <w:p>
      <w:pPr>
        <w:pStyle w:val="21"/>
        <w:spacing w:after="0" w:line="47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《三相智能电能表型式规范》（</w:t>
      </w:r>
      <w:r>
        <w:rPr>
          <w:rFonts w:ascii="仿宋" w:hAnsi="仿宋" w:eastAsia="仿宋" w:cs="仿宋"/>
          <w:color w:val="000000"/>
          <w:kern w:val="0"/>
          <w:sz w:val="24"/>
        </w:rPr>
        <w:t>DL/T 1489-2015）</w:t>
      </w:r>
    </w:p>
    <w:p>
      <w:pPr>
        <w:pStyle w:val="21"/>
        <w:spacing w:after="0" w:line="47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《智能电能表功能规范》（</w:t>
      </w:r>
      <w:r>
        <w:rPr>
          <w:rFonts w:ascii="仿宋" w:hAnsi="仿宋" w:eastAsia="仿宋" w:cs="仿宋"/>
          <w:color w:val="000000"/>
          <w:kern w:val="0"/>
          <w:sz w:val="24"/>
        </w:rPr>
        <w:t>DL/T 1490-2015）</w:t>
      </w:r>
    </w:p>
    <w:p>
      <w:pPr>
        <w:pStyle w:val="21"/>
        <w:spacing w:after="0" w:line="470" w:lineRule="exact"/>
        <w:ind w:firstLine="480" w:firstLineChars="200"/>
        <w:rPr>
          <w:rFonts w:ascii="楷体" w:hAnsi="楷体" w:eastAsia="楷体" w:cs="仿宋"/>
          <w:color w:val="000000"/>
          <w:kern w:val="0"/>
          <w:sz w:val="24"/>
        </w:rPr>
      </w:pPr>
      <w:r>
        <w:rPr>
          <w:rFonts w:hint="eastAsia" w:ascii="楷体" w:hAnsi="楷体" w:eastAsia="楷体" w:cs="仿宋"/>
          <w:color w:val="000000"/>
          <w:kern w:val="0"/>
          <w:sz w:val="24"/>
        </w:rPr>
        <w:t>（七）投标报价及最高限价。</w:t>
      </w:r>
    </w:p>
    <w:p>
      <w:pPr>
        <w:pStyle w:val="21"/>
        <w:spacing w:after="0" w:line="47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1</w:t>
      </w:r>
      <w:r>
        <w:rPr>
          <w:rFonts w:ascii="仿宋" w:hAnsi="仿宋" w:eastAsia="仿宋" w:cs="仿宋"/>
          <w:color w:val="000000"/>
          <w:kern w:val="0"/>
          <w:sz w:val="24"/>
        </w:rPr>
        <w:t>.</w:t>
      </w:r>
      <w:r>
        <w:rPr>
          <w:rFonts w:hint="eastAsia" w:ascii="仿宋" w:hAnsi="仿宋" w:eastAsia="仿宋" w:cs="仿宋"/>
          <w:color w:val="000000"/>
          <w:kern w:val="0"/>
          <w:sz w:val="24"/>
        </w:rPr>
        <w:t>本项目采用全费用综合单价计价</w:t>
      </w:r>
      <w:r>
        <w:rPr>
          <w:rFonts w:ascii="仿宋" w:hAnsi="仿宋" w:eastAsia="仿宋" w:cs="仿宋"/>
          <w:color w:val="000000"/>
          <w:kern w:val="0"/>
          <w:sz w:val="24"/>
        </w:rPr>
        <w:t>,投标报价均应视为投标文件中提出的各项支付金额的总和，包括但不限于以下费用:软件、硬件、测试、安装</w:t>
      </w:r>
      <w:r>
        <w:rPr>
          <w:rFonts w:hint="eastAsia" w:ascii="仿宋" w:hAnsi="仿宋" w:eastAsia="仿宋" w:cs="仿宋"/>
          <w:color w:val="000000"/>
          <w:kern w:val="0"/>
          <w:sz w:val="24"/>
        </w:rPr>
        <w:t>、</w:t>
      </w:r>
      <w:r>
        <w:rPr>
          <w:rFonts w:ascii="仿宋" w:hAnsi="仿宋" w:eastAsia="仿宋" w:cs="仿宋"/>
          <w:color w:val="000000"/>
          <w:kern w:val="0"/>
          <w:sz w:val="24"/>
        </w:rPr>
        <w:t>调试、培训、售后服务（至少一年期）、试运行、税金及其它全部相关费用以及招标文件及合同约定范围内的风险费用等。</w:t>
      </w:r>
    </w:p>
    <w:p>
      <w:pPr>
        <w:pStyle w:val="21"/>
        <w:spacing w:after="0" w:line="48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2</w:t>
      </w:r>
      <w:r>
        <w:rPr>
          <w:rFonts w:ascii="仿宋" w:hAnsi="仿宋" w:eastAsia="仿宋" w:cs="仿宋"/>
          <w:color w:val="000000"/>
          <w:kern w:val="0"/>
          <w:sz w:val="24"/>
        </w:rPr>
        <w:t>.</w:t>
      </w:r>
      <w:r>
        <w:rPr>
          <w:rFonts w:hint="eastAsia" w:ascii="仿宋" w:hAnsi="仿宋" w:eastAsia="仿宋" w:cs="仿宋"/>
          <w:color w:val="000000"/>
          <w:kern w:val="0"/>
          <w:sz w:val="24"/>
        </w:rPr>
        <w:t>本项目最高限价为人民币</w:t>
      </w:r>
      <w:r>
        <w:rPr>
          <w:rFonts w:ascii="仿宋" w:hAnsi="仿宋" w:eastAsia="仿宋" w:cs="仿宋"/>
          <w:color w:val="000000"/>
          <w:kern w:val="0"/>
          <w:sz w:val="24"/>
        </w:rPr>
        <w:t>120.2668万元</w:t>
      </w:r>
      <w:r>
        <w:rPr>
          <w:rFonts w:hint="eastAsia" w:ascii="仿宋" w:hAnsi="仿宋" w:eastAsia="仿宋" w:cs="仿宋"/>
          <w:color w:val="000000"/>
          <w:kern w:val="0"/>
          <w:sz w:val="24"/>
        </w:rPr>
        <w:t>，投标人的投标报价高于本项目最高限价的，评标委员会将否决其投标。</w:t>
      </w:r>
    </w:p>
    <w:p>
      <w:pPr>
        <w:pStyle w:val="21"/>
        <w:spacing w:after="0" w:line="480" w:lineRule="exact"/>
        <w:rPr>
          <w:rFonts w:ascii="仿宋" w:hAnsi="仿宋" w:eastAsia="仿宋" w:cs="仿宋"/>
          <w:color w:val="000000"/>
          <w:kern w:val="0"/>
          <w:sz w:val="24"/>
        </w:rPr>
        <w:sectPr>
          <w:footerReference r:id="rId3" w:type="default"/>
          <w:footerReference r:id="rId4" w:type="even"/>
          <w:pgSz w:w="11907" w:h="16840"/>
          <w:pgMar w:top="2098" w:right="1474" w:bottom="1985" w:left="1588" w:header="851" w:footer="992" w:gutter="0"/>
          <w:cols w:space="720" w:num="1"/>
          <w:docGrid w:linePitch="312" w:charSpace="0"/>
        </w:sectPr>
      </w:pPr>
    </w:p>
    <w:bookmarkEnd w:id="231"/>
    <w:bookmarkEnd w:id="232"/>
    <w:p>
      <w:pPr>
        <w:pStyle w:val="5"/>
        <w:pageBreakBefore/>
        <w:spacing w:before="240" w:beforeLines="100" w:after="240" w:afterLines="100"/>
      </w:pPr>
      <w:bookmarkStart w:id="235" w:name="_Toc20581"/>
      <w:r>
        <w:rPr>
          <w:rFonts w:hint="eastAsia"/>
        </w:rPr>
        <w:t>第六章  投标文件格式</w:t>
      </w:r>
      <w:bookmarkEnd w:id="235"/>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jc w:val="center"/>
        <w:rPr>
          <w:rFonts w:cs="宋体" w:asciiTheme="majorEastAsia" w:hAnsiTheme="majorEastAsia" w:eastAsiaTheme="majorEastAsia"/>
          <w:color w:val="000000"/>
          <w:sz w:val="32"/>
          <w:szCs w:val="32"/>
        </w:rPr>
      </w:pPr>
      <w:r>
        <w:rPr>
          <w:rFonts w:hint="eastAsia" w:cs="宋体" w:asciiTheme="majorEastAsia" w:hAnsiTheme="majorEastAsia" w:eastAsiaTheme="majorEastAsia"/>
          <w:color w:val="000000"/>
          <w:sz w:val="32"/>
          <w:szCs w:val="32"/>
        </w:rPr>
        <w:t>____________________（项目名称）</w:t>
      </w:r>
    </w:p>
    <w:p>
      <w:pPr>
        <w:rPr>
          <w:rFonts w:ascii="宋体" w:hAnsi="宋体" w:cs="宋体"/>
          <w:color w:val="000000"/>
        </w:rPr>
      </w:pPr>
    </w:p>
    <w:p>
      <w:pPr>
        <w:rPr>
          <w:rFonts w:ascii="宋体" w:hAnsi="宋体" w:cs="宋体"/>
          <w:color w:val="000000"/>
        </w:rPr>
      </w:pPr>
    </w:p>
    <w:p>
      <w:pPr>
        <w:jc w:val="center"/>
        <w:rPr>
          <w:rFonts w:cs="宋体" w:asciiTheme="majorEastAsia" w:hAnsiTheme="majorEastAsia" w:eastAsiaTheme="majorEastAsia"/>
          <w:b/>
          <w:color w:val="000000"/>
          <w:sz w:val="72"/>
          <w:szCs w:val="72"/>
        </w:rPr>
      </w:pPr>
      <w:r>
        <w:rPr>
          <w:rFonts w:hint="eastAsia" w:cs="宋体" w:asciiTheme="majorEastAsia" w:hAnsiTheme="majorEastAsia" w:eastAsiaTheme="majorEastAsia"/>
          <w:b/>
          <w:color w:val="000000"/>
          <w:sz w:val="72"/>
          <w:szCs w:val="72"/>
        </w:rPr>
        <w:t>投</w:t>
      </w:r>
      <w:r>
        <w:rPr>
          <w:rFonts w:cs="宋体" w:asciiTheme="majorEastAsia" w:hAnsiTheme="majorEastAsia" w:eastAsiaTheme="majorEastAsia"/>
          <w:b/>
          <w:color w:val="000000"/>
          <w:sz w:val="72"/>
          <w:szCs w:val="72"/>
        </w:rPr>
        <w:t xml:space="preserve">  </w:t>
      </w:r>
      <w:r>
        <w:rPr>
          <w:rFonts w:hint="eastAsia" w:cs="宋体" w:asciiTheme="majorEastAsia" w:hAnsiTheme="majorEastAsia" w:eastAsiaTheme="majorEastAsia"/>
          <w:b/>
          <w:color w:val="000000"/>
          <w:sz w:val="72"/>
          <w:szCs w:val="72"/>
        </w:rPr>
        <w:t>标</w:t>
      </w:r>
      <w:r>
        <w:rPr>
          <w:rFonts w:cs="宋体" w:asciiTheme="majorEastAsia" w:hAnsiTheme="majorEastAsia" w:eastAsiaTheme="majorEastAsia"/>
          <w:b/>
          <w:color w:val="000000"/>
          <w:sz w:val="72"/>
          <w:szCs w:val="72"/>
        </w:rPr>
        <w:t xml:space="preserve">  </w:t>
      </w:r>
      <w:r>
        <w:rPr>
          <w:rFonts w:hint="eastAsia" w:cs="宋体" w:asciiTheme="majorEastAsia" w:hAnsiTheme="majorEastAsia" w:eastAsiaTheme="majorEastAsia"/>
          <w:b/>
          <w:color w:val="000000"/>
          <w:sz w:val="72"/>
          <w:szCs w:val="72"/>
        </w:rPr>
        <w:t>文</w:t>
      </w:r>
      <w:r>
        <w:rPr>
          <w:rFonts w:cs="宋体" w:asciiTheme="majorEastAsia" w:hAnsiTheme="majorEastAsia" w:eastAsiaTheme="majorEastAsia"/>
          <w:b/>
          <w:color w:val="000000"/>
          <w:sz w:val="72"/>
          <w:szCs w:val="72"/>
        </w:rPr>
        <w:t xml:space="preserve">  </w:t>
      </w:r>
      <w:r>
        <w:rPr>
          <w:rFonts w:hint="eastAsia" w:cs="宋体" w:asciiTheme="majorEastAsia" w:hAnsiTheme="majorEastAsia" w:eastAsiaTheme="majorEastAsia"/>
          <w:b/>
          <w:color w:val="000000"/>
          <w:sz w:val="72"/>
          <w:szCs w:val="72"/>
        </w:rPr>
        <w:t>件</w:t>
      </w:r>
    </w:p>
    <w:p>
      <w:pPr>
        <w:rPr>
          <w:rFonts w:ascii="宋体" w:hAnsi="宋体" w:cs="宋体"/>
          <w:color w:val="000000"/>
        </w:rPr>
      </w:pPr>
    </w:p>
    <w:p>
      <w:pPr>
        <w:jc w:val="center"/>
        <w:rPr>
          <w:rFonts w:cs="宋体" w:asciiTheme="majorEastAsia" w:hAnsiTheme="majorEastAsia" w:eastAsiaTheme="majorEastAsia"/>
          <w:color w:val="000000"/>
          <w:sz w:val="32"/>
          <w:szCs w:val="32"/>
        </w:rPr>
      </w:pPr>
      <w:r>
        <w:rPr>
          <w:rFonts w:hint="eastAsia" w:cs="宋体" w:asciiTheme="majorEastAsia" w:hAnsiTheme="majorEastAsia" w:eastAsiaTheme="majorEastAsia"/>
          <w:color w:val="000000"/>
          <w:sz w:val="32"/>
          <w:szCs w:val="32"/>
        </w:rPr>
        <w:t>（正本或副本）</w:t>
      </w: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rPr>
          <w:rFonts w:ascii="宋体" w:hAnsi="宋体" w:cs="宋体"/>
          <w:color w:val="000000"/>
        </w:rPr>
      </w:pPr>
    </w:p>
    <w:p>
      <w:pPr>
        <w:ind w:firstLine="641"/>
        <w:jc w:val="center"/>
        <w:rPr>
          <w:rFonts w:cs="宋体" w:asciiTheme="majorEastAsia" w:hAnsiTheme="majorEastAsia" w:eastAsiaTheme="majorEastAsia"/>
          <w:color w:val="000000"/>
          <w:sz w:val="32"/>
          <w:szCs w:val="32"/>
        </w:rPr>
      </w:pPr>
      <w:r>
        <w:rPr>
          <w:rFonts w:hint="eastAsia" w:cs="宋体" w:asciiTheme="majorEastAsia" w:hAnsiTheme="majorEastAsia" w:eastAsiaTheme="majorEastAsia"/>
          <w:color w:val="000000"/>
          <w:sz w:val="32"/>
          <w:szCs w:val="32"/>
        </w:rPr>
        <w:t>投标人：</w:t>
      </w:r>
      <w:r>
        <w:rPr>
          <w:rFonts w:hint="eastAsia" w:cs="宋体" w:asciiTheme="majorEastAsia" w:hAnsiTheme="majorEastAsia" w:eastAsiaTheme="majorEastAsia"/>
          <w:color w:val="000000"/>
          <w:sz w:val="32"/>
          <w:szCs w:val="32"/>
          <w:u w:val="single"/>
        </w:rPr>
        <w:t xml:space="preserve">                         </w:t>
      </w:r>
      <w:r>
        <w:rPr>
          <w:rFonts w:hint="eastAsia" w:cs="宋体" w:asciiTheme="majorEastAsia" w:hAnsiTheme="majorEastAsia" w:eastAsiaTheme="majorEastAsia"/>
          <w:color w:val="000000"/>
          <w:sz w:val="32"/>
          <w:szCs w:val="32"/>
        </w:rPr>
        <w:t>（盖单位章）</w:t>
      </w:r>
    </w:p>
    <w:p>
      <w:pPr>
        <w:ind w:firstLine="641"/>
        <w:jc w:val="center"/>
        <w:rPr>
          <w:rFonts w:cs="宋体" w:asciiTheme="majorEastAsia" w:hAnsiTheme="majorEastAsia" w:eastAsiaTheme="majorEastAsia"/>
          <w:color w:val="000000"/>
          <w:sz w:val="32"/>
          <w:szCs w:val="32"/>
        </w:rPr>
      </w:pPr>
    </w:p>
    <w:p>
      <w:pPr>
        <w:ind w:firstLine="641"/>
        <w:jc w:val="center"/>
        <w:rPr>
          <w:rFonts w:cs="宋体" w:asciiTheme="majorEastAsia" w:hAnsiTheme="majorEastAsia" w:eastAsiaTheme="majorEastAsia"/>
          <w:color w:val="000000"/>
          <w:sz w:val="32"/>
          <w:szCs w:val="32"/>
        </w:rPr>
      </w:pPr>
      <w:r>
        <w:rPr>
          <w:rFonts w:hint="eastAsia" w:cs="宋体" w:asciiTheme="majorEastAsia" w:hAnsiTheme="majorEastAsia" w:eastAsiaTheme="majorEastAsia"/>
          <w:color w:val="000000"/>
          <w:sz w:val="32"/>
          <w:szCs w:val="32"/>
        </w:rPr>
        <w:t>法定代表人或授权委托人</w:t>
      </w:r>
      <w:r>
        <w:rPr>
          <w:rFonts w:hint="eastAsia" w:cs="宋体" w:asciiTheme="majorEastAsia" w:hAnsiTheme="majorEastAsia" w:eastAsiaTheme="majorEastAsia"/>
          <w:color w:val="000000"/>
          <w:sz w:val="32"/>
          <w:szCs w:val="32"/>
          <w:u w:val="single"/>
        </w:rPr>
        <w:t xml:space="preserve">               </w:t>
      </w:r>
      <w:r>
        <w:rPr>
          <w:rFonts w:hint="eastAsia" w:cs="宋体" w:asciiTheme="majorEastAsia" w:hAnsiTheme="majorEastAsia" w:eastAsiaTheme="majorEastAsia"/>
          <w:color w:val="000000"/>
          <w:sz w:val="32"/>
          <w:szCs w:val="32"/>
        </w:rPr>
        <w:t>（签    章）</w:t>
      </w:r>
    </w:p>
    <w:p>
      <w:pPr>
        <w:ind w:firstLine="641"/>
        <w:jc w:val="center"/>
        <w:rPr>
          <w:rFonts w:cs="宋体" w:asciiTheme="majorEastAsia" w:hAnsiTheme="majorEastAsia" w:eastAsiaTheme="majorEastAsia"/>
          <w:color w:val="000000"/>
          <w:sz w:val="32"/>
          <w:szCs w:val="32"/>
        </w:rPr>
      </w:pPr>
    </w:p>
    <w:p>
      <w:pPr>
        <w:ind w:firstLine="641"/>
        <w:jc w:val="center"/>
        <w:rPr>
          <w:rFonts w:cs="宋体" w:asciiTheme="majorEastAsia" w:hAnsiTheme="majorEastAsia" w:eastAsiaTheme="majorEastAsia"/>
          <w:color w:val="000000"/>
          <w:sz w:val="32"/>
          <w:szCs w:val="32"/>
        </w:rPr>
      </w:pPr>
      <w:r>
        <w:rPr>
          <w:rFonts w:hint="eastAsia" w:cs="宋体" w:asciiTheme="majorEastAsia" w:hAnsiTheme="majorEastAsia" w:eastAsiaTheme="majorEastAsia"/>
          <w:color w:val="000000"/>
          <w:sz w:val="32"/>
          <w:szCs w:val="32"/>
        </w:rPr>
        <w:t>日期：</w:t>
      </w:r>
      <w:r>
        <w:rPr>
          <w:rFonts w:cs="宋体" w:asciiTheme="majorEastAsia" w:hAnsiTheme="majorEastAsia" w:eastAsiaTheme="majorEastAsia"/>
          <w:color w:val="000000"/>
          <w:sz w:val="32"/>
          <w:szCs w:val="32"/>
          <w:u w:val="single"/>
        </w:rPr>
        <w:t xml:space="preserve">      </w:t>
      </w:r>
      <w:r>
        <w:rPr>
          <w:rFonts w:hint="eastAsia" w:cs="宋体" w:asciiTheme="majorEastAsia" w:hAnsiTheme="majorEastAsia" w:eastAsiaTheme="majorEastAsia"/>
          <w:color w:val="000000"/>
          <w:sz w:val="32"/>
          <w:szCs w:val="32"/>
        </w:rPr>
        <w:t>年</w:t>
      </w:r>
      <w:r>
        <w:rPr>
          <w:rFonts w:cs="宋体" w:asciiTheme="majorEastAsia" w:hAnsiTheme="majorEastAsia" w:eastAsiaTheme="majorEastAsia"/>
          <w:color w:val="000000"/>
          <w:sz w:val="32"/>
          <w:szCs w:val="32"/>
          <w:u w:val="single"/>
        </w:rPr>
        <w:t xml:space="preserve">    </w:t>
      </w:r>
      <w:r>
        <w:rPr>
          <w:rFonts w:hint="eastAsia" w:cs="宋体" w:asciiTheme="majorEastAsia" w:hAnsiTheme="majorEastAsia" w:eastAsiaTheme="majorEastAsia"/>
          <w:color w:val="000000"/>
          <w:sz w:val="32"/>
          <w:szCs w:val="32"/>
        </w:rPr>
        <w:t>月</w:t>
      </w:r>
      <w:r>
        <w:rPr>
          <w:rFonts w:cs="宋体" w:asciiTheme="majorEastAsia" w:hAnsiTheme="majorEastAsia" w:eastAsiaTheme="majorEastAsia"/>
          <w:color w:val="000000"/>
          <w:sz w:val="32"/>
          <w:szCs w:val="32"/>
          <w:u w:val="single"/>
        </w:rPr>
        <w:t xml:space="preserve">    </w:t>
      </w:r>
      <w:r>
        <w:rPr>
          <w:rFonts w:hint="eastAsia" w:cs="宋体" w:asciiTheme="majorEastAsia" w:hAnsiTheme="majorEastAsia" w:eastAsiaTheme="majorEastAsia"/>
          <w:color w:val="000000"/>
          <w:sz w:val="32"/>
          <w:szCs w:val="32"/>
        </w:rPr>
        <w:t>日</w:t>
      </w:r>
    </w:p>
    <w:p>
      <w:pPr>
        <w:rPr>
          <w:rFonts w:ascii="宋体" w:hAnsi="宋体" w:cs="宋体"/>
          <w:color w:val="000000"/>
        </w:rPr>
      </w:pPr>
    </w:p>
    <w:p>
      <w:pPr>
        <w:rPr>
          <w:rFonts w:ascii="宋体" w:hAnsi="宋体" w:cs="宋体"/>
          <w:color w:val="000000"/>
        </w:rPr>
      </w:pPr>
    </w:p>
    <w:p>
      <w:pPr>
        <w:rPr>
          <w:rFonts w:ascii="宋体" w:hAnsi="宋体" w:cs="宋体"/>
          <w:color w:val="000000"/>
        </w:rPr>
      </w:pPr>
    </w:p>
    <w:p>
      <w:pPr>
        <w:pStyle w:val="6"/>
        <w:rPr>
          <w:rFonts w:cs="宋体" w:asciiTheme="majorEastAsia" w:hAnsiTheme="majorEastAsia" w:eastAsiaTheme="majorEastAsia"/>
          <w:color w:val="000000"/>
          <w:sz w:val="36"/>
          <w:szCs w:val="36"/>
        </w:rPr>
      </w:pPr>
      <w:bookmarkStart w:id="236" w:name="_Toc42015411"/>
      <w:bookmarkStart w:id="237" w:name="_Toc41658928"/>
      <w:bookmarkStart w:id="238" w:name="_Toc18603118"/>
      <w:bookmarkStart w:id="239" w:name="_Toc31839"/>
      <w:bookmarkStart w:id="240" w:name="_Toc522293545"/>
      <w:bookmarkStart w:id="241" w:name="_Toc12428"/>
      <w:bookmarkStart w:id="242" w:name="_Toc42015196"/>
      <w:r>
        <w:rPr>
          <w:rFonts w:hint="eastAsia" w:cs="宋体" w:asciiTheme="majorEastAsia" w:hAnsiTheme="majorEastAsia" w:eastAsiaTheme="majorEastAsia"/>
          <w:color w:val="000000"/>
          <w:sz w:val="36"/>
          <w:szCs w:val="36"/>
        </w:rPr>
        <w:t>目    录</w:t>
      </w:r>
      <w:bookmarkEnd w:id="236"/>
      <w:bookmarkEnd w:id="237"/>
      <w:bookmarkEnd w:id="238"/>
      <w:bookmarkEnd w:id="239"/>
      <w:bookmarkEnd w:id="240"/>
      <w:bookmarkEnd w:id="241"/>
      <w:bookmarkEnd w:id="242"/>
    </w:p>
    <w:p>
      <w:pPr>
        <w:rPr>
          <w:rFonts w:cs="宋体" w:asciiTheme="majorEastAsia" w:hAnsiTheme="majorEastAsia" w:eastAsiaTheme="majorEastAsia"/>
          <w:color w:val="000000"/>
          <w:sz w:val="28"/>
          <w:szCs w:val="28"/>
        </w:rPr>
      </w:pPr>
    </w:p>
    <w:p>
      <w:pPr>
        <w:pStyle w:val="21"/>
        <w:spacing w:after="0" w:line="440" w:lineRule="exact"/>
        <w:ind w:firstLine="562" w:firstLineChars="200"/>
        <w:jc w:val="left"/>
        <w:rPr>
          <w:rFonts w:cs="宋体" w:asciiTheme="majorEastAsia" w:hAnsiTheme="majorEastAsia" w:eastAsiaTheme="majorEastAsia"/>
          <w:b/>
          <w:color w:val="000000"/>
          <w:sz w:val="28"/>
          <w:szCs w:val="28"/>
        </w:rPr>
      </w:pPr>
      <w:r>
        <w:rPr>
          <w:rFonts w:hint="eastAsia" w:cs="宋体" w:asciiTheme="majorEastAsia" w:hAnsiTheme="majorEastAsia" w:eastAsiaTheme="majorEastAsia"/>
          <w:b/>
          <w:color w:val="000000"/>
          <w:sz w:val="28"/>
          <w:szCs w:val="28"/>
        </w:rPr>
        <w:t>一、商务标</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（一）投标函</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（二）法定代表人身份证明</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（三）授权委托书</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（四）投标人情况介绍</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（五）拟任本项目负责人情况一览表</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（六）拟任本项目组成人员一览表</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（七）近几年已完成类似项目业绩</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（八）资格审查资料</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（九）承诺函</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（十）反商业贿赂承诺书</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（十一）投标人纳税资格证明</w:t>
      </w:r>
    </w:p>
    <w:p>
      <w:pPr>
        <w:pStyle w:val="21"/>
        <w:spacing w:after="0" w:line="440" w:lineRule="exact"/>
        <w:ind w:firstLine="560" w:firstLineChars="200"/>
        <w:jc w:val="lef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（十二）投标人认为需要提供的其他资料</w:t>
      </w:r>
    </w:p>
    <w:p>
      <w:pPr>
        <w:pStyle w:val="21"/>
        <w:spacing w:after="0" w:line="440" w:lineRule="exact"/>
        <w:ind w:firstLine="562" w:firstLineChars="200"/>
        <w:jc w:val="left"/>
        <w:rPr>
          <w:rFonts w:cs="宋体" w:asciiTheme="majorEastAsia" w:hAnsiTheme="majorEastAsia" w:eastAsiaTheme="majorEastAsia"/>
          <w:b/>
          <w:color w:val="000000"/>
          <w:sz w:val="28"/>
          <w:szCs w:val="28"/>
        </w:rPr>
      </w:pPr>
      <w:r>
        <w:rPr>
          <w:rFonts w:hint="eastAsia" w:cs="宋体" w:asciiTheme="majorEastAsia" w:hAnsiTheme="majorEastAsia" w:eastAsiaTheme="majorEastAsia"/>
          <w:b/>
          <w:color w:val="000000"/>
          <w:sz w:val="28"/>
          <w:szCs w:val="28"/>
        </w:rPr>
        <w:t>二、技术标</w:t>
      </w:r>
    </w:p>
    <w:p>
      <w:pPr>
        <w:pStyle w:val="21"/>
        <w:spacing w:after="0"/>
        <w:jc w:val="center"/>
        <w:rPr>
          <w:rFonts w:cs="宋体" w:asciiTheme="majorEastAsia" w:hAnsiTheme="majorEastAsia" w:eastAsiaTheme="majorEastAsia"/>
          <w:b/>
          <w:color w:val="000000"/>
          <w:sz w:val="36"/>
          <w:szCs w:val="36"/>
        </w:rPr>
      </w:pPr>
      <w:r>
        <w:rPr>
          <w:rFonts w:hint="eastAsia" w:cs="宋体"/>
          <w:color w:val="000000"/>
          <w:sz w:val="28"/>
          <w:szCs w:val="21"/>
        </w:rPr>
        <w:br w:type="page"/>
      </w:r>
      <w:bookmarkStart w:id="243" w:name="_Toc2578"/>
      <w:bookmarkStart w:id="244" w:name="_Toc22270_WPSOffice_Level2"/>
      <w:bookmarkStart w:id="245" w:name="_Toc144974468"/>
      <w:bookmarkStart w:id="246" w:name="_Toc152047264"/>
      <w:bookmarkStart w:id="247" w:name="_Toc406602421"/>
      <w:bookmarkStart w:id="248" w:name="_Toc360718909"/>
      <w:r>
        <w:rPr>
          <w:rFonts w:hint="eastAsia" w:cs="宋体" w:asciiTheme="majorEastAsia" w:hAnsiTheme="majorEastAsia" w:eastAsiaTheme="majorEastAsia"/>
          <w:b/>
          <w:color w:val="000000"/>
          <w:sz w:val="36"/>
          <w:szCs w:val="36"/>
        </w:rPr>
        <w:t>一、商务标</w:t>
      </w:r>
    </w:p>
    <w:p>
      <w:pPr>
        <w:pStyle w:val="6"/>
        <w:spacing w:line="480" w:lineRule="exact"/>
        <w:ind w:firstLine="312"/>
        <w:rPr>
          <w:rFonts w:ascii="仿宋_GB2312" w:cs="宋体"/>
          <w:bCs w:val="0"/>
          <w:color w:val="000000"/>
        </w:rPr>
      </w:pPr>
      <w:bookmarkStart w:id="249" w:name="_Toc2973"/>
      <w:bookmarkStart w:id="250" w:name="_Toc21731"/>
      <w:bookmarkStart w:id="251" w:name="_Toc42015412"/>
      <w:bookmarkStart w:id="252" w:name="_Toc42015197"/>
      <w:bookmarkStart w:id="253" w:name="_Toc41658929"/>
      <w:bookmarkStart w:id="254" w:name="_Toc21685_WPSOffice_Level2"/>
      <w:bookmarkStart w:id="255" w:name="_Toc18603119"/>
      <w:r>
        <w:rPr>
          <w:rFonts w:hint="eastAsia" w:ascii="仿宋_GB2312" w:cs="宋体"/>
          <w:bCs w:val="0"/>
          <w:color w:val="000000"/>
        </w:rPr>
        <w:t>（一）投标函</w:t>
      </w:r>
      <w:bookmarkEnd w:id="249"/>
      <w:bookmarkEnd w:id="250"/>
      <w:bookmarkEnd w:id="251"/>
      <w:bookmarkEnd w:id="252"/>
      <w:bookmarkEnd w:id="253"/>
      <w:bookmarkEnd w:id="254"/>
      <w:bookmarkEnd w:id="255"/>
    </w:p>
    <w:p>
      <w:pPr>
        <w:pStyle w:val="25"/>
        <w:snapToGrid w:val="0"/>
        <w:spacing w:line="480" w:lineRule="exact"/>
        <w:ind w:firstLine="0"/>
        <w:rPr>
          <w:rFonts w:ascii="仿宋_GB2312" w:hAnsi="宋体" w:eastAsia="仿宋_GB2312" w:cs="宋体"/>
          <w:color w:val="000000"/>
          <w:sz w:val="24"/>
          <w:szCs w:val="24"/>
        </w:rPr>
      </w:pPr>
      <w:r>
        <w:rPr>
          <w:rFonts w:hint="eastAsia" w:ascii="仿宋_GB2312" w:hAnsi="宋体" w:eastAsia="仿宋_GB2312" w:cs="宋体"/>
          <w:color w:val="000000"/>
          <w:sz w:val="24"/>
          <w:szCs w:val="24"/>
        </w:rPr>
        <w:t>至</w:t>
      </w:r>
      <w:r>
        <w:rPr>
          <w:rFonts w:hint="eastAsia" w:ascii="仿宋_GB2312" w:hAnsi="宋体" w:eastAsia="仿宋_GB2312" w:cs="宋体"/>
          <w:color w:val="000000"/>
          <w:sz w:val="24"/>
          <w:szCs w:val="24"/>
          <w:u w:val="single"/>
        </w:rPr>
        <w:t xml:space="preserve"> （招标人） </w:t>
      </w:r>
      <w:r>
        <w:rPr>
          <w:rFonts w:hint="eastAsia" w:ascii="仿宋_GB2312" w:hAnsi="宋体" w:eastAsia="仿宋_GB2312" w:cs="宋体"/>
          <w:color w:val="000000"/>
          <w:sz w:val="24"/>
          <w:szCs w:val="24"/>
        </w:rPr>
        <w:t>：</w:t>
      </w:r>
    </w:p>
    <w:p>
      <w:pPr>
        <w:pStyle w:val="25"/>
        <w:snapToGrid w:val="0"/>
        <w:spacing w:line="480" w:lineRule="exact"/>
        <w:ind w:firstLine="480" w:firstLineChars="200"/>
        <w:rPr>
          <w:rFonts w:ascii="仿宋_GB2312" w:hAnsi="宋体" w:eastAsia="仿宋_GB2312" w:cs="宋体"/>
          <w:color w:val="000000"/>
          <w:sz w:val="24"/>
          <w:szCs w:val="24"/>
        </w:rPr>
      </w:pPr>
      <w:r>
        <w:rPr>
          <w:rFonts w:ascii="仿宋_GB2312" w:hAnsi="宋体" w:eastAsia="仿宋_GB2312" w:cs="宋体"/>
          <w:color w:val="000000"/>
          <w:sz w:val="24"/>
          <w:szCs w:val="24"/>
        </w:rPr>
        <w:t>1.</w:t>
      </w:r>
      <w:r>
        <w:rPr>
          <w:rFonts w:hint="eastAsia" w:ascii="仿宋_GB2312" w:hAnsi="宋体" w:eastAsia="仿宋_GB2312" w:cs="宋体"/>
          <w:color w:val="000000"/>
          <w:sz w:val="24"/>
          <w:szCs w:val="24"/>
        </w:rPr>
        <w:t>我方已仔细研究了</w:t>
      </w:r>
      <w:r>
        <w:rPr>
          <w:rFonts w:hint="eastAsia" w:ascii="仿宋_GB2312" w:hAnsi="宋体" w:eastAsia="仿宋_GB2312" w:cs="宋体"/>
          <w:color w:val="000000"/>
          <w:sz w:val="24"/>
          <w:szCs w:val="24"/>
          <w:u w:val="single"/>
        </w:rPr>
        <w:t xml:space="preserve"> </w:t>
      </w:r>
      <w:r>
        <w:rPr>
          <w:rFonts w:ascii="仿宋_GB2312" w:hAnsi="宋体" w:eastAsia="仿宋_GB2312" w:cs="宋体"/>
          <w:color w:val="000000"/>
          <w:sz w:val="24"/>
          <w:szCs w:val="24"/>
          <w:u w:val="single"/>
        </w:rPr>
        <w:t xml:space="preserve"> </w:t>
      </w:r>
      <w:r>
        <w:rPr>
          <w:rFonts w:hint="eastAsia" w:ascii="仿宋_GB2312" w:hAnsi="宋体" w:eastAsia="仿宋_GB2312" w:cs="宋体"/>
          <w:color w:val="000000"/>
          <w:sz w:val="24"/>
          <w:szCs w:val="24"/>
          <w:u w:val="single"/>
        </w:rPr>
        <w:t>（项目名称）</w:t>
      </w:r>
      <w:r>
        <w:rPr>
          <w:rFonts w:ascii="仿宋_GB2312" w:hAnsi="宋体" w:eastAsia="仿宋_GB2312" w:cs="宋体"/>
          <w:color w:val="000000"/>
          <w:sz w:val="24"/>
          <w:szCs w:val="24"/>
          <w:u w:val="single"/>
        </w:rPr>
        <w:t xml:space="preserve">  </w:t>
      </w:r>
      <w:r>
        <w:rPr>
          <w:rFonts w:hint="eastAsia" w:ascii="仿宋_GB2312" w:hAnsi="宋体" w:eastAsia="仿宋_GB2312" w:cs="宋体"/>
          <w:color w:val="000000"/>
          <w:sz w:val="24"/>
          <w:szCs w:val="24"/>
        </w:rPr>
        <w:t>招标文件（包括补充和修正文件）（如有）的全部内容，并对此无异议，愿意以如下投标报价、交付地点、交付时间、质保期等承诺，按合同约定实施和完成承包项目。</w:t>
      </w:r>
    </w:p>
    <w:tbl>
      <w:tblPr>
        <w:tblStyle w:val="44"/>
        <w:tblW w:w="9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0"/>
        <w:gridCol w:w="6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530" w:type="dxa"/>
            <w:vAlign w:val="center"/>
          </w:tcPr>
          <w:p>
            <w:pPr>
              <w:jc w:val="center"/>
              <w:rPr>
                <w:rFonts w:ascii="黑体" w:hAnsi="黑体" w:eastAsia="黑体" w:cs="宋体"/>
                <w:color w:val="000000"/>
                <w:sz w:val="24"/>
                <w:szCs w:val="24"/>
              </w:rPr>
            </w:pPr>
            <w:r>
              <w:rPr>
                <w:rFonts w:hint="eastAsia" w:ascii="黑体" w:hAnsi="黑体" w:eastAsia="黑体" w:cs="宋体"/>
                <w:color w:val="000000"/>
                <w:sz w:val="24"/>
                <w:szCs w:val="24"/>
              </w:rPr>
              <w:t>项目名称</w:t>
            </w:r>
          </w:p>
        </w:tc>
        <w:tc>
          <w:tcPr>
            <w:tcW w:w="6616" w:type="dxa"/>
            <w:vAlign w:val="center"/>
          </w:tcPr>
          <w:p>
            <w:pPr>
              <w:pStyle w:val="72"/>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0" w:type="dxa"/>
            <w:vAlign w:val="center"/>
          </w:tcPr>
          <w:p>
            <w:pPr>
              <w:jc w:val="center"/>
              <w:rPr>
                <w:rFonts w:ascii="黑体" w:hAnsi="黑体" w:eastAsia="黑体" w:cs="宋体"/>
                <w:color w:val="000000"/>
                <w:sz w:val="24"/>
                <w:szCs w:val="24"/>
              </w:rPr>
            </w:pPr>
            <w:r>
              <w:rPr>
                <w:rFonts w:hint="eastAsia" w:ascii="黑体" w:hAnsi="黑体" w:eastAsia="黑体" w:cs="宋体"/>
                <w:color w:val="000000"/>
                <w:sz w:val="24"/>
                <w:szCs w:val="24"/>
              </w:rPr>
              <w:t>投标报价</w:t>
            </w:r>
          </w:p>
        </w:tc>
        <w:tc>
          <w:tcPr>
            <w:tcW w:w="6616" w:type="dxa"/>
            <w:vAlign w:val="center"/>
          </w:tcPr>
          <w:p>
            <w:pPr>
              <w:pStyle w:val="72"/>
              <w:jc w:val="center"/>
              <w:rPr>
                <w:rFonts w:ascii="宋体" w:hAnsi="宋体" w:cs="宋体"/>
                <w:color w:val="000000"/>
                <w:sz w:val="24"/>
              </w:rPr>
            </w:pPr>
          </w:p>
          <w:p>
            <w:pPr>
              <w:pStyle w:val="72"/>
              <w:jc w:val="center"/>
              <w:rPr>
                <w:rFonts w:ascii="宋体" w:hAnsi="宋体" w:cs="宋体"/>
                <w:color w:val="000000"/>
                <w:sz w:val="24"/>
              </w:rPr>
            </w:pPr>
            <w:r>
              <w:rPr>
                <w:rFonts w:hint="eastAsia" w:ascii="宋体" w:hAnsi="宋体" w:cs="宋体"/>
                <w:color w:val="000000"/>
                <w:sz w:val="24"/>
              </w:rPr>
              <w:t>小写：</w:t>
            </w:r>
            <w:r>
              <w:rPr>
                <w:rFonts w:hint="eastAsia" w:ascii="宋体" w:hAnsi="宋体" w:cs="宋体"/>
                <w:color w:val="000000"/>
                <w:sz w:val="24"/>
                <w:u w:val="single"/>
              </w:rPr>
              <w:t xml:space="preserve">                    </w:t>
            </w:r>
            <w:r>
              <w:rPr>
                <w:rFonts w:ascii="宋体" w:hAnsi="宋体" w:cs="宋体"/>
                <w:color w:val="000000"/>
                <w:sz w:val="24"/>
                <w:u w:val="single"/>
              </w:rPr>
              <w:t xml:space="preserve"> </w:t>
            </w:r>
            <w:r>
              <w:rPr>
                <w:rFonts w:hint="eastAsia" w:ascii="宋体" w:hAnsi="宋体" w:cs="宋体"/>
                <w:color w:val="000000"/>
                <w:sz w:val="24"/>
                <w:u w:val="single"/>
              </w:rPr>
              <w:t xml:space="preserve"> </w:t>
            </w:r>
            <w:r>
              <w:rPr>
                <w:rFonts w:hint="eastAsia" w:ascii="宋体" w:hAnsi="宋体" w:cs="宋体"/>
                <w:color w:val="000000"/>
                <w:sz w:val="24"/>
              </w:rPr>
              <w:t>元</w:t>
            </w:r>
          </w:p>
          <w:p>
            <w:pPr>
              <w:pStyle w:val="72"/>
              <w:jc w:val="center"/>
              <w:rPr>
                <w:rFonts w:ascii="宋体" w:hAnsi="宋体" w:cs="宋体"/>
                <w:color w:val="000000"/>
                <w:sz w:val="24"/>
              </w:rPr>
            </w:pPr>
          </w:p>
          <w:p>
            <w:pPr>
              <w:jc w:val="center"/>
              <w:rPr>
                <w:rFonts w:ascii="宋体" w:hAnsi="宋体" w:cs="宋体"/>
                <w:color w:val="000000"/>
                <w:sz w:val="24"/>
                <w:szCs w:val="24"/>
              </w:rPr>
            </w:pPr>
            <w:r>
              <w:rPr>
                <w:rFonts w:hint="eastAsia" w:ascii="宋体" w:hAnsi="宋体" w:cs="宋体"/>
                <w:color w:val="000000"/>
                <w:sz w:val="24"/>
                <w:szCs w:val="24"/>
              </w:rPr>
              <w:t>大写：</w:t>
            </w:r>
            <w:r>
              <w:rPr>
                <w:rFonts w:hint="eastAsia" w:ascii="宋体" w:hAnsi="宋体" w:cs="宋体"/>
                <w:color w:val="000000"/>
                <w:sz w:val="24"/>
                <w:szCs w:val="24"/>
                <w:u w:val="single"/>
              </w:rPr>
              <w:t xml:space="preserve">                      </w:t>
            </w:r>
            <w:r>
              <w:rPr>
                <w:rFonts w:hint="eastAsia" w:ascii="宋体" w:hAnsi="宋体" w:cs="宋体"/>
                <w:color w:val="000000"/>
                <w:sz w:val="24"/>
                <w:szCs w:val="24"/>
              </w:rPr>
              <w:t>元</w:t>
            </w:r>
          </w:p>
          <w:p>
            <w:pPr>
              <w:pStyle w:val="2"/>
              <w:spacing w:after="0"/>
              <w:ind w:left="0" w:leftChars="0" w:firstLine="0" w:firstLineChars="0"/>
              <w:jc w:val="center"/>
              <w:rPr>
                <w:rFonts w:ascii="宋体" w:eastAsia="仿宋_GB2312"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30" w:type="dxa"/>
            <w:vAlign w:val="center"/>
          </w:tcPr>
          <w:p>
            <w:pPr>
              <w:jc w:val="center"/>
              <w:rPr>
                <w:rFonts w:ascii="黑体" w:hAnsi="黑体" w:eastAsia="黑体" w:cs="宋体"/>
                <w:sz w:val="24"/>
                <w:szCs w:val="24"/>
              </w:rPr>
            </w:pPr>
            <w:r>
              <w:rPr>
                <w:rFonts w:hint="eastAsia" w:ascii="黑体" w:hAnsi="黑体" w:eastAsia="黑体" w:cs="宋体"/>
                <w:sz w:val="24"/>
                <w:szCs w:val="24"/>
              </w:rPr>
              <w:t>交付时间</w:t>
            </w:r>
          </w:p>
        </w:tc>
        <w:tc>
          <w:tcPr>
            <w:tcW w:w="6616" w:type="dxa"/>
            <w:vAlign w:val="center"/>
          </w:tcPr>
          <w:p>
            <w:pPr>
              <w:pStyle w:val="72"/>
              <w:jc w:val="center"/>
              <w:rPr>
                <w:rFonts w:ascii="宋体" w:hAnsi="宋体" w:cs="宋体"/>
                <w:color w:val="000000"/>
                <w:sz w:val="24"/>
              </w:rPr>
            </w:pPr>
          </w:p>
        </w:tc>
      </w:tr>
    </w:tbl>
    <w:p>
      <w:pPr>
        <w:pStyle w:val="25"/>
        <w:snapToGrid w:val="0"/>
        <w:spacing w:line="480" w:lineRule="exact"/>
        <w:ind w:firstLine="480" w:firstLineChars="200"/>
        <w:rPr>
          <w:rFonts w:ascii="仿宋_GB2312" w:hAnsi="宋体" w:eastAsia="仿宋_GB2312" w:cs="宋体"/>
          <w:color w:val="000000"/>
          <w:sz w:val="24"/>
          <w:szCs w:val="24"/>
        </w:rPr>
      </w:pPr>
      <w:r>
        <w:rPr>
          <w:rFonts w:ascii="仿宋_GB2312" w:hAnsi="宋体" w:eastAsia="仿宋_GB2312" w:cs="宋体"/>
          <w:color w:val="000000"/>
          <w:sz w:val="24"/>
          <w:szCs w:val="24"/>
        </w:rPr>
        <w:t>2.</w:t>
      </w:r>
      <w:r>
        <w:rPr>
          <w:rFonts w:hint="eastAsia" w:ascii="仿宋_GB2312" w:hAnsi="宋体" w:eastAsia="仿宋_GB2312" w:cs="宋体"/>
          <w:color w:val="000000"/>
          <w:sz w:val="24"/>
          <w:szCs w:val="24"/>
        </w:rPr>
        <w:t>一旦我方成为该项目的中标单位，我方保证遵守国家有关法律法规、执业准则和技术标准开展工作，并按照协议约定履行义务、完成任务，不转包委托业务。</w:t>
      </w:r>
    </w:p>
    <w:p>
      <w:pPr>
        <w:pStyle w:val="25"/>
        <w:snapToGrid w:val="0"/>
        <w:spacing w:line="480" w:lineRule="exact"/>
        <w:ind w:firstLine="480" w:firstLineChars="200"/>
        <w:rPr>
          <w:rFonts w:ascii="仿宋_GB2312" w:hAnsi="宋体" w:eastAsia="仿宋_GB2312" w:cs="宋体"/>
          <w:color w:val="000000"/>
          <w:sz w:val="24"/>
          <w:szCs w:val="24"/>
        </w:rPr>
      </w:pPr>
      <w:r>
        <w:rPr>
          <w:rFonts w:ascii="仿宋_GB2312" w:hAnsi="宋体" w:eastAsia="仿宋_GB2312" w:cs="宋体"/>
          <w:color w:val="000000"/>
          <w:sz w:val="24"/>
          <w:szCs w:val="24"/>
        </w:rPr>
        <w:t>3.</w:t>
      </w:r>
      <w:r>
        <w:rPr>
          <w:rFonts w:hint="eastAsia" w:ascii="仿宋_GB2312" w:hAnsi="宋体" w:eastAsia="仿宋_GB2312" w:cs="宋体"/>
          <w:color w:val="000000"/>
          <w:sz w:val="24"/>
          <w:szCs w:val="24"/>
        </w:rPr>
        <w:t>我方同意所提交的投标文件在招标文件的投标须知中规定的投标有效期内有效，在此期间内如果中标，我方将受此约束。</w:t>
      </w:r>
    </w:p>
    <w:p>
      <w:pPr>
        <w:pStyle w:val="25"/>
        <w:snapToGrid w:val="0"/>
        <w:spacing w:line="480" w:lineRule="exact"/>
        <w:ind w:firstLine="480" w:firstLineChars="200"/>
        <w:rPr>
          <w:rFonts w:ascii="仿宋_GB2312" w:hAnsi="宋体" w:eastAsia="仿宋_GB2312" w:cs="宋体"/>
          <w:color w:val="000000"/>
          <w:sz w:val="24"/>
          <w:szCs w:val="24"/>
        </w:rPr>
      </w:pPr>
      <w:r>
        <w:rPr>
          <w:rFonts w:ascii="仿宋_GB2312" w:hAnsi="宋体" w:eastAsia="仿宋_GB2312" w:cs="宋体"/>
          <w:color w:val="000000"/>
          <w:sz w:val="24"/>
          <w:szCs w:val="24"/>
        </w:rPr>
        <w:t>4.</w:t>
      </w:r>
      <w:r>
        <w:rPr>
          <w:rFonts w:hint="eastAsia" w:ascii="仿宋_GB2312" w:hAnsi="宋体" w:eastAsia="仿宋_GB2312" w:cs="宋体"/>
          <w:color w:val="000000"/>
          <w:sz w:val="24"/>
          <w:szCs w:val="24"/>
        </w:rPr>
        <w:t>我方已详细检查所有招标文件、附件以及所提供的参考文件，由模糊和误解产生的一切后果，由我方自负。</w:t>
      </w:r>
    </w:p>
    <w:p>
      <w:pPr>
        <w:pStyle w:val="25"/>
        <w:snapToGrid w:val="0"/>
        <w:spacing w:line="480" w:lineRule="exact"/>
        <w:ind w:firstLine="480" w:firstLineChars="200"/>
        <w:rPr>
          <w:rFonts w:ascii="仿宋_GB2312" w:hAnsi="宋体" w:eastAsia="仿宋_GB2312" w:cs="宋体"/>
          <w:color w:val="000000"/>
          <w:sz w:val="24"/>
          <w:szCs w:val="24"/>
        </w:rPr>
      </w:pPr>
      <w:r>
        <w:rPr>
          <w:rFonts w:ascii="仿宋_GB2312" w:hAnsi="宋体" w:eastAsia="仿宋_GB2312" w:cs="宋体"/>
          <w:color w:val="000000"/>
          <w:sz w:val="24"/>
          <w:szCs w:val="24"/>
        </w:rPr>
        <w:t>5.</w:t>
      </w:r>
      <w:r>
        <w:rPr>
          <w:rFonts w:hint="eastAsia" w:ascii="仿宋_GB2312" w:hAnsi="宋体" w:eastAsia="仿宋_GB2312" w:cs="宋体"/>
          <w:color w:val="000000"/>
          <w:sz w:val="24"/>
          <w:szCs w:val="24"/>
        </w:rPr>
        <w:t>我方若未成为中标单位，招标人有权不做任何解释。</w:t>
      </w:r>
    </w:p>
    <w:p>
      <w:pPr>
        <w:pStyle w:val="25"/>
        <w:snapToGrid w:val="0"/>
        <w:spacing w:line="480" w:lineRule="exact"/>
        <w:ind w:firstLine="480" w:firstLineChars="200"/>
        <w:rPr>
          <w:rFonts w:ascii="仿宋_GB2312" w:hAnsi="宋体" w:eastAsia="仿宋_GB2312" w:cs="宋体"/>
          <w:color w:val="000000"/>
          <w:sz w:val="24"/>
          <w:szCs w:val="24"/>
        </w:rPr>
      </w:pPr>
      <w:r>
        <w:rPr>
          <w:rFonts w:ascii="仿宋_GB2312" w:hAnsi="宋体" w:eastAsia="仿宋_GB2312" w:cs="宋体"/>
          <w:color w:val="000000"/>
          <w:sz w:val="24"/>
          <w:szCs w:val="24"/>
        </w:rPr>
        <w:t>6.</w:t>
      </w:r>
      <w:r>
        <w:rPr>
          <w:rFonts w:hint="eastAsia" w:ascii="仿宋_GB2312" w:hAnsi="宋体" w:eastAsia="仿宋_GB2312" w:cs="宋体"/>
          <w:color w:val="000000"/>
          <w:sz w:val="24"/>
          <w:szCs w:val="24"/>
        </w:rPr>
        <w:t>如果我方中标，保证无条件按照招标人的要求承担本项目服务工作。</w:t>
      </w:r>
    </w:p>
    <w:p>
      <w:pPr>
        <w:pStyle w:val="25"/>
        <w:snapToGrid w:val="0"/>
        <w:spacing w:line="480" w:lineRule="exact"/>
        <w:ind w:firstLine="480" w:firstLineChars="200"/>
        <w:rPr>
          <w:rFonts w:ascii="仿宋_GB2312" w:hAnsi="宋体" w:eastAsia="仿宋_GB2312" w:cs="宋体"/>
          <w:color w:val="000000"/>
          <w:sz w:val="24"/>
          <w:szCs w:val="24"/>
        </w:rPr>
      </w:pPr>
      <w:r>
        <w:rPr>
          <w:rFonts w:ascii="仿宋_GB2312" w:hAnsi="宋体" w:eastAsia="仿宋_GB2312" w:cs="宋体"/>
          <w:color w:val="000000"/>
          <w:sz w:val="24"/>
          <w:szCs w:val="24"/>
        </w:rPr>
        <w:t>7.</w:t>
      </w:r>
      <w:r>
        <w:rPr>
          <w:rFonts w:hint="eastAsia" w:ascii="仿宋_GB2312" w:hAnsi="宋体" w:eastAsia="仿宋_GB2312" w:cs="宋体"/>
          <w:color w:val="000000"/>
          <w:sz w:val="24"/>
          <w:szCs w:val="24"/>
        </w:rPr>
        <w:t>如我方中标：</w:t>
      </w:r>
    </w:p>
    <w:p>
      <w:pPr>
        <w:pStyle w:val="25"/>
        <w:snapToGrid w:val="0"/>
        <w:spacing w:line="480" w:lineRule="exact"/>
        <w:ind w:firstLine="480" w:firstLineChars="200"/>
        <w:rPr>
          <w:rFonts w:ascii="仿宋_GB2312" w:hAnsi="宋体" w:eastAsia="仿宋_GB2312" w:cs="宋体"/>
          <w:color w:val="000000"/>
          <w:sz w:val="24"/>
          <w:szCs w:val="24"/>
        </w:rPr>
      </w:pPr>
      <w:r>
        <w:rPr>
          <w:rFonts w:hint="eastAsia" w:ascii="仿宋_GB2312" w:hAnsi="宋体" w:eastAsia="仿宋_GB2312" w:cs="宋体"/>
          <w:color w:val="000000"/>
          <w:sz w:val="24"/>
          <w:szCs w:val="24"/>
        </w:rPr>
        <w:t>（1）我方承诺在收到中标通知书后，按照招标文件要求在中标通知书规定的期限内与你方签订合同。</w:t>
      </w:r>
    </w:p>
    <w:p>
      <w:pPr>
        <w:pStyle w:val="25"/>
        <w:snapToGrid w:val="0"/>
        <w:spacing w:line="480" w:lineRule="exact"/>
        <w:ind w:firstLine="480" w:firstLineChars="200"/>
        <w:rPr>
          <w:rFonts w:ascii="仿宋_GB2312" w:hAnsi="宋体" w:eastAsia="仿宋_GB2312" w:cs="宋体"/>
          <w:color w:val="000000"/>
          <w:sz w:val="24"/>
          <w:szCs w:val="24"/>
        </w:rPr>
      </w:pPr>
      <w:r>
        <w:rPr>
          <w:rFonts w:hint="eastAsia" w:ascii="仿宋_GB2312" w:hAnsi="宋体" w:eastAsia="仿宋_GB2312" w:cs="宋体"/>
          <w:color w:val="000000"/>
          <w:sz w:val="24"/>
          <w:szCs w:val="24"/>
        </w:rPr>
        <w:t>（2）我方承诺在合同约定的期限内完成并移交全部合同项目。</w:t>
      </w:r>
    </w:p>
    <w:p>
      <w:pPr>
        <w:pStyle w:val="25"/>
        <w:snapToGrid w:val="0"/>
        <w:spacing w:line="480" w:lineRule="exact"/>
        <w:ind w:firstLine="480" w:firstLineChars="200"/>
        <w:rPr>
          <w:rFonts w:ascii="仿宋_GB2312" w:hAnsi="宋体" w:eastAsia="仿宋_GB2312" w:cs="宋体"/>
          <w:color w:val="000000"/>
          <w:sz w:val="24"/>
          <w:szCs w:val="24"/>
        </w:rPr>
      </w:pPr>
      <w:r>
        <w:rPr>
          <w:rFonts w:hint="eastAsia" w:ascii="仿宋_GB2312" w:hAnsi="宋体" w:eastAsia="仿宋_GB2312" w:cs="宋体"/>
          <w:color w:val="000000"/>
          <w:sz w:val="24"/>
          <w:szCs w:val="24"/>
        </w:rPr>
        <w:t xml:space="preserve">（3）我方同意提供按照你方可能要求的与其投标有关一切数据或资料。 </w:t>
      </w:r>
    </w:p>
    <w:p>
      <w:pPr>
        <w:pStyle w:val="25"/>
        <w:snapToGrid w:val="0"/>
        <w:spacing w:line="480" w:lineRule="exact"/>
        <w:ind w:firstLine="480" w:firstLineChars="200"/>
        <w:rPr>
          <w:rFonts w:ascii="仿宋_GB2312" w:hAnsi="宋体" w:eastAsia="仿宋_GB2312" w:cs="宋体"/>
          <w:color w:val="000000"/>
          <w:sz w:val="24"/>
          <w:szCs w:val="24"/>
        </w:rPr>
      </w:pPr>
      <w:r>
        <w:rPr>
          <w:rFonts w:hint="eastAsia" w:ascii="仿宋_GB2312" w:hAnsi="宋体" w:eastAsia="仿宋_GB2312" w:cs="宋体"/>
          <w:color w:val="000000"/>
          <w:sz w:val="24"/>
          <w:szCs w:val="24"/>
        </w:rPr>
        <w:t>（4）项目验收之日起一年内提供免费维护服务（包含软件bug修复）。</w:t>
      </w:r>
    </w:p>
    <w:p>
      <w:pPr>
        <w:pStyle w:val="25"/>
        <w:snapToGrid w:val="0"/>
        <w:spacing w:line="480" w:lineRule="exact"/>
        <w:ind w:firstLine="480" w:firstLineChars="200"/>
        <w:rPr>
          <w:rFonts w:ascii="仿宋_GB2312" w:hAnsi="宋体" w:eastAsia="仿宋_GB2312" w:cs="宋体"/>
          <w:color w:val="000000"/>
          <w:sz w:val="24"/>
          <w:szCs w:val="24"/>
        </w:rPr>
      </w:pPr>
      <w:r>
        <w:rPr>
          <w:rFonts w:ascii="仿宋_GB2312" w:hAnsi="宋体" w:eastAsia="仿宋_GB2312" w:cs="宋体"/>
          <w:color w:val="000000"/>
          <w:sz w:val="24"/>
          <w:szCs w:val="24"/>
        </w:rPr>
        <w:t>8.</w:t>
      </w:r>
      <w:r>
        <w:rPr>
          <w:rFonts w:hint="eastAsia" w:ascii="仿宋_GB2312" w:hAnsi="宋体" w:eastAsia="仿宋_GB2312" w:cs="宋体"/>
          <w:color w:val="000000"/>
          <w:sz w:val="24"/>
          <w:szCs w:val="24"/>
        </w:rPr>
        <w:t>我方在此声明，我方代表经正式授权并代表投标人提交符合本项目招标文件要求的投标文件内容和份数。所递交的投标文件及有关资料内容完整、真实和准确，且不存在第二章“投标人须知”第1.4.3项和第1.4.4项规定的任何一种情形。</w:t>
      </w:r>
    </w:p>
    <w:p>
      <w:pPr>
        <w:pStyle w:val="25"/>
        <w:snapToGrid w:val="0"/>
        <w:spacing w:line="480" w:lineRule="exact"/>
        <w:ind w:firstLine="480" w:firstLineChars="200"/>
        <w:rPr>
          <w:rFonts w:ascii="仿宋_GB2312" w:hAnsi="宋体" w:eastAsia="仿宋_GB2312" w:cs="宋体"/>
          <w:color w:val="000000"/>
          <w:sz w:val="24"/>
          <w:szCs w:val="24"/>
        </w:rPr>
      </w:pPr>
      <w:r>
        <w:rPr>
          <w:rFonts w:ascii="仿宋_GB2312" w:hAnsi="宋体" w:eastAsia="仿宋_GB2312" w:cs="宋体"/>
          <w:color w:val="000000"/>
          <w:sz w:val="24"/>
          <w:szCs w:val="24"/>
        </w:rPr>
        <w:t>9.</w:t>
      </w:r>
      <w:r>
        <w:rPr>
          <w:rFonts w:hint="eastAsia" w:ascii="仿宋_GB2312" w:hAnsi="宋体" w:eastAsia="仿宋_GB2312" w:cs="宋体"/>
          <w:color w:val="000000"/>
          <w:sz w:val="24"/>
          <w:szCs w:val="24"/>
        </w:rPr>
        <w:t>其他补充说明：</w:t>
      </w:r>
      <w:r>
        <w:rPr>
          <w:rFonts w:hint="eastAsia" w:ascii="仿宋_GB2312" w:hAnsi="宋体" w:eastAsia="仿宋_GB2312" w:cs="宋体"/>
          <w:color w:val="000000"/>
          <w:sz w:val="24"/>
          <w:szCs w:val="24"/>
          <w:u w:val="single"/>
        </w:rPr>
        <w:t xml:space="preserve">                                </w:t>
      </w:r>
      <w:r>
        <w:rPr>
          <w:rFonts w:hint="eastAsia" w:ascii="仿宋_GB2312" w:hAnsi="宋体" w:eastAsia="仿宋_GB2312" w:cs="宋体"/>
          <w:color w:val="000000"/>
          <w:sz w:val="24"/>
          <w:szCs w:val="24"/>
        </w:rPr>
        <w:t>。</w:t>
      </w:r>
    </w:p>
    <w:p>
      <w:pPr>
        <w:pStyle w:val="25"/>
        <w:snapToGrid w:val="0"/>
        <w:spacing w:line="480" w:lineRule="exact"/>
        <w:ind w:firstLine="480" w:firstLineChars="200"/>
        <w:rPr>
          <w:rFonts w:ascii="仿宋_GB2312" w:hAnsi="宋体" w:eastAsia="仿宋_GB2312" w:cs="宋体"/>
          <w:color w:val="000000"/>
          <w:sz w:val="24"/>
          <w:szCs w:val="24"/>
        </w:rPr>
      </w:pPr>
    </w:p>
    <w:p>
      <w:pPr>
        <w:pStyle w:val="25"/>
        <w:snapToGrid w:val="0"/>
        <w:spacing w:line="480" w:lineRule="exact"/>
        <w:ind w:firstLine="480" w:firstLineChars="200"/>
        <w:rPr>
          <w:rFonts w:ascii="仿宋_GB2312" w:hAnsi="宋体" w:eastAsia="仿宋_GB2312" w:cs="宋体"/>
          <w:color w:val="000000"/>
          <w:sz w:val="24"/>
          <w:szCs w:val="24"/>
        </w:rPr>
      </w:pPr>
    </w:p>
    <w:p>
      <w:pPr>
        <w:pStyle w:val="25"/>
        <w:snapToGrid w:val="0"/>
        <w:spacing w:line="480" w:lineRule="exact"/>
        <w:ind w:firstLine="480" w:firstLineChars="200"/>
        <w:rPr>
          <w:rFonts w:ascii="仿宋_GB2312" w:hAnsi="宋体" w:eastAsia="仿宋_GB2312" w:cs="宋体"/>
          <w:color w:val="000000"/>
          <w:sz w:val="24"/>
          <w:szCs w:val="24"/>
        </w:rPr>
      </w:pPr>
      <w:r>
        <w:rPr>
          <w:rFonts w:hint="eastAsia" w:ascii="仿宋_GB2312" w:hAnsi="宋体" w:eastAsia="仿宋_GB2312" w:cs="宋体"/>
          <w:color w:val="000000"/>
          <w:sz w:val="24"/>
          <w:szCs w:val="24"/>
        </w:rPr>
        <w:t>投 标 人（盖章）：</w:t>
      </w:r>
      <w:r>
        <w:rPr>
          <w:rFonts w:hint="eastAsia" w:ascii="仿宋_GB2312" w:hAnsi="宋体" w:eastAsia="仿宋_GB2312" w:cs="宋体"/>
          <w:color w:val="000000"/>
          <w:sz w:val="24"/>
          <w:szCs w:val="24"/>
          <w:u w:val="single"/>
        </w:rPr>
        <w:t xml:space="preserve">                               </w:t>
      </w:r>
    </w:p>
    <w:p>
      <w:pPr>
        <w:pStyle w:val="25"/>
        <w:snapToGrid w:val="0"/>
        <w:spacing w:line="480" w:lineRule="exact"/>
        <w:ind w:firstLine="480" w:firstLineChars="200"/>
        <w:rPr>
          <w:rFonts w:ascii="仿宋_GB2312" w:hAnsi="宋体" w:eastAsia="仿宋_GB2312" w:cs="宋体"/>
          <w:color w:val="000000"/>
          <w:sz w:val="24"/>
          <w:szCs w:val="24"/>
        </w:rPr>
      </w:pPr>
      <w:r>
        <w:rPr>
          <w:rFonts w:hint="eastAsia" w:ascii="仿宋_GB2312" w:hAnsi="宋体" w:eastAsia="仿宋_GB2312" w:cs="宋体"/>
          <w:color w:val="000000"/>
          <w:sz w:val="24"/>
          <w:szCs w:val="24"/>
        </w:rPr>
        <w:t>法定代表人或委托代理人（签字或盖章）：</w:t>
      </w:r>
      <w:r>
        <w:rPr>
          <w:rFonts w:hint="eastAsia" w:ascii="仿宋_GB2312" w:hAnsi="宋体" w:eastAsia="仿宋_GB2312" w:cs="宋体"/>
          <w:color w:val="000000"/>
          <w:sz w:val="24"/>
          <w:szCs w:val="24"/>
          <w:u w:val="single"/>
        </w:rPr>
        <w:t xml:space="preserve">           </w:t>
      </w:r>
    </w:p>
    <w:p>
      <w:pPr>
        <w:pStyle w:val="25"/>
        <w:snapToGrid w:val="0"/>
        <w:spacing w:line="480" w:lineRule="exact"/>
        <w:ind w:firstLine="480" w:firstLineChars="200"/>
        <w:rPr>
          <w:rFonts w:ascii="仿宋_GB2312" w:hAnsi="宋体" w:eastAsia="仿宋_GB2312" w:cs="宋体"/>
          <w:color w:val="000000"/>
          <w:sz w:val="24"/>
          <w:szCs w:val="24"/>
          <w:u w:val="single"/>
        </w:rPr>
      </w:pPr>
      <w:r>
        <w:rPr>
          <w:rFonts w:hint="eastAsia" w:ascii="仿宋_GB2312" w:hAnsi="宋体" w:eastAsia="仿宋_GB2312" w:cs="宋体"/>
          <w:color w:val="000000"/>
          <w:sz w:val="24"/>
          <w:szCs w:val="24"/>
        </w:rPr>
        <w:t>单位地址：</w:t>
      </w:r>
      <w:r>
        <w:rPr>
          <w:rFonts w:hint="eastAsia" w:ascii="仿宋_GB2312" w:hAnsi="宋体" w:eastAsia="仿宋_GB2312" w:cs="宋体"/>
          <w:color w:val="000000"/>
          <w:sz w:val="24"/>
          <w:szCs w:val="24"/>
          <w:u w:val="single"/>
        </w:rPr>
        <w:t xml:space="preserve">                                       </w:t>
      </w:r>
    </w:p>
    <w:p>
      <w:pPr>
        <w:pStyle w:val="25"/>
        <w:snapToGrid w:val="0"/>
        <w:spacing w:line="480" w:lineRule="exact"/>
        <w:ind w:firstLine="480" w:firstLineChars="200"/>
        <w:rPr>
          <w:rFonts w:ascii="仿宋_GB2312" w:hAnsi="宋体" w:eastAsia="仿宋_GB2312" w:cs="宋体"/>
          <w:color w:val="000000"/>
          <w:sz w:val="24"/>
          <w:szCs w:val="24"/>
        </w:rPr>
      </w:pPr>
      <w:r>
        <w:rPr>
          <w:rFonts w:hint="eastAsia" w:ascii="仿宋_GB2312" w:hAnsi="宋体" w:eastAsia="仿宋_GB2312" w:cs="宋体"/>
          <w:color w:val="000000"/>
          <w:sz w:val="24"/>
          <w:szCs w:val="24"/>
        </w:rPr>
        <w:t>邮政编码：</w:t>
      </w:r>
      <w:r>
        <w:rPr>
          <w:rFonts w:hint="eastAsia" w:ascii="仿宋_GB2312" w:hAnsi="宋体" w:eastAsia="仿宋_GB2312" w:cs="宋体"/>
          <w:color w:val="000000"/>
          <w:sz w:val="24"/>
          <w:szCs w:val="24"/>
          <w:u w:val="single"/>
        </w:rPr>
        <w:t xml:space="preserve">      </w:t>
      </w:r>
      <w:r>
        <w:rPr>
          <w:rFonts w:ascii="仿宋_GB2312" w:hAnsi="宋体" w:eastAsia="仿宋_GB2312" w:cs="宋体"/>
          <w:color w:val="000000"/>
          <w:sz w:val="24"/>
          <w:szCs w:val="24"/>
          <w:u w:val="single"/>
        </w:rPr>
        <w:t xml:space="preserve">   </w:t>
      </w:r>
      <w:r>
        <w:rPr>
          <w:rFonts w:hint="eastAsia" w:ascii="仿宋_GB2312" w:hAnsi="宋体" w:eastAsia="仿宋_GB2312" w:cs="宋体"/>
          <w:color w:val="000000"/>
          <w:sz w:val="24"/>
          <w:szCs w:val="24"/>
          <w:u w:val="single"/>
        </w:rPr>
        <w:t xml:space="preserve">   </w:t>
      </w:r>
      <w:r>
        <w:rPr>
          <w:rFonts w:hint="eastAsia" w:ascii="仿宋_GB2312" w:hAnsi="宋体" w:eastAsia="仿宋_GB2312" w:cs="宋体"/>
          <w:color w:val="000000"/>
          <w:sz w:val="24"/>
          <w:szCs w:val="24"/>
        </w:rPr>
        <w:t>电话：</w:t>
      </w:r>
      <w:r>
        <w:rPr>
          <w:rFonts w:hint="eastAsia" w:ascii="仿宋_GB2312" w:hAnsi="宋体" w:eastAsia="仿宋_GB2312" w:cs="宋体"/>
          <w:color w:val="000000"/>
          <w:sz w:val="24"/>
          <w:szCs w:val="24"/>
          <w:u w:val="single"/>
        </w:rPr>
        <w:t xml:space="preserve">      </w:t>
      </w:r>
      <w:r>
        <w:rPr>
          <w:rFonts w:ascii="仿宋_GB2312" w:hAnsi="宋体" w:eastAsia="仿宋_GB2312" w:cs="宋体"/>
          <w:color w:val="000000"/>
          <w:sz w:val="24"/>
          <w:szCs w:val="24"/>
          <w:u w:val="single"/>
        </w:rPr>
        <w:t xml:space="preserve">           </w:t>
      </w:r>
      <w:r>
        <w:rPr>
          <w:rFonts w:hint="eastAsia" w:ascii="仿宋_GB2312" w:hAnsi="宋体" w:eastAsia="仿宋_GB2312" w:cs="宋体"/>
          <w:color w:val="000000"/>
          <w:sz w:val="24"/>
          <w:szCs w:val="24"/>
          <w:u w:val="single"/>
        </w:rPr>
        <w:t xml:space="preserve">    </w:t>
      </w:r>
    </w:p>
    <w:p>
      <w:pPr>
        <w:pStyle w:val="25"/>
        <w:snapToGrid w:val="0"/>
        <w:spacing w:line="480" w:lineRule="exact"/>
        <w:ind w:firstLine="480" w:firstLineChars="200"/>
        <w:rPr>
          <w:rFonts w:ascii="仿宋_GB2312" w:hAnsi="宋体" w:eastAsia="仿宋_GB2312" w:cs="宋体"/>
          <w:color w:val="000000"/>
          <w:sz w:val="24"/>
          <w:szCs w:val="24"/>
        </w:rPr>
      </w:pPr>
    </w:p>
    <w:p>
      <w:pPr>
        <w:pStyle w:val="25"/>
        <w:snapToGrid w:val="0"/>
        <w:spacing w:line="480" w:lineRule="exact"/>
        <w:ind w:firstLine="480" w:firstLineChars="200"/>
        <w:rPr>
          <w:rFonts w:ascii="仿宋_GB2312" w:hAnsi="宋体" w:eastAsia="仿宋_GB2312" w:cs="宋体"/>
          <w:color w:val="000000"/>
          <w:sz w:val="24"/>
          <w:szCs w:val="24"/>
        </w:rPr>
      </w:pPr>
    </w:p>
    <w:p>
      <w:pPr>
        <w:pStyle w:val="25"/>
        <w:snapToGrid w:val="0"/>
        <w:spacing w:line="480" w:lineRule="exact"/>
        <w:ind w:firstLine="200"/>
        <w:jc w:val="right"/>
        <w:rPr>
          <w:rFonts w:ascii="仿宋_GB2312" w:hAnsi="宋体" w:eastAsia="仿宋_GB2312" w:cs="宋体"/>
          <w:sz w:val="24"/>
          <w:szCs w:val="24"/>
          <w:u w:val="single"/>
        </w:rPr>
      </w:pP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月</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日</w:t>
      </w:r>
    </w:p>
    <w:p>
      <w:pPr>
        <w:pStyle w:val="21"/>
        <w:spacing w:after="0" w:line="360" w:lineRule="auto"/>
        <w:rPr>
          <w:rFonts w:cs="宋体"/>
          <w:kern w:val="1"/>
          <w:sz w:val="24"/>
        </w:rPr>
        <w:sectPr>
          <w:pgSz w:w="11907" w:h="16840"/>
          <w:pgMar w:top="2098" w:right="1474" w:bottom="1985" w:left="1588" w:header="851" w:footer="992" w:gutter="0"/>
          <w:cols w:space="720" w:num="1"/>
          <w:docGrid w:linePitch="312" w:charSpace="0"/>
        </w:sectPr>
      </w:pPr>
    </w:p>
    <w:bookmarkEnd w:id="243"/>
    <w:bookmarkEnd w:id="244"/>
    <w:bookmarkEnd w:id="245"/>
    <w:bookmarkEnd w:id="246"/>
    <w:bookmarkEnd w:id="247"/>
    <w:bookmarkEnd w:id="248"/>
    <w:p>
      <w:pPr>
        <w:pStyle w:val="6"/>
        <w:spacing w:line="480" w:lineRule="exact"/>
        <w:rPr>
          <w:rFonts w:cs="宋体"/>
          <w:bCs w:val="0"/>
        </w:rPr>
      </w:pPr>
      <w:bookmarkStart w:id="256" w:name="_Toc41658930"/>
      <w:bookmarkStart w:id="257" w:name="_Toc42015198"/>
      <w:bookmarkStart w:id="258" w:name="_Toc42015413"/>
      <w:bookmarkStart w:id="259" w:name="_Toc20909"/>
      <w:r>
        <w:rPr>
          <w:rFonts w:hint="eastAsia" w:cs="宋体"/>
          <w:bCs w:val="0"/>
        </w:rPr>
        <w:t>（二）法定代表人身份证明</w:t>
      </w:r>
      <w:bookmarkEnd w:id="256"/>
      <w:bookmarkEnd w:id="257"/>
      <w:bookmarkEnd w:id="258"/>
      <w:bookmarkEnd w:id="259"/>
    </w:p>
    <w:p>
      <w:pPr>
        <w:pStyle w:val="62"/>
        <w:widowControl/>
        <w:spacing w:line="480" w:lineRule="exact"/>
        <w:ind w:firstLine="480" w:firstLineChars="200"/>
        <w:rPr>
          <w:rFonts w:ascii="宋体" w:hAnsi="宋体" w:cs="宋体"/>
          <w:sz w:val="24"/>
          <w:szCs w:val="24"/>
        </w:rPr>
      </w:pP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投 标 人：</w:t>
      </w:r>
      <w:r>
        <w:rPr>
          <w:rFonts w:hint="eastAsia" w:ascii="宋体" w:hAnsi="宋体" w:cs="宋体"/>
          <w:sz w:val="24"/>
          <w:szCs w:val="24"/>
          <w:u w:val="single"/>
        </w:rPr>
        <w:t xml:space="preserve">                                                        </w:t>
      </w: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 xml:space="preserve"> 性        别：</w:t>
      </w:r>
      <w:r>
        <w:rPr>
          <w:rFonts w:hint="eastAsia" w:ascii="宋体" w:hAnsi="宋体" w:cs="宋体"/>
          <w:sz w:val="24"/>
          <w:szCs w:val="24"/>
          <w:u w:val="single"/>
        </w:rPr>
        <w:t xml:space="preserve">                </w:t>
      </w: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年    龄：</w:t>
      </w:r>
      <w:r>
        <w:rPr>
          <w:rFonts w:hint="eastAsia" w:ascii="宋体" w:hAnsi="宋体" w:cs="宋体"/>
          <w:sz w:val="24"/>
          <w:szCs w:val="24"/>
          <w:u w:val="single"/>
        </w:rPr>
        <w:t xml:space="preserve">                         </w:t>
      </w:r>
      <w:r>
        <w:rPr>
          <w:rFonts w:hint="eastAsia" w:ascii="宋体" w:hAnsi="宋体" w:cs="宋体"/>
          <w:sz w:val="24"/>
          <w:szCs w:val="24"/>
        </w:rPr>
        <w:t xml:space="preserve"> 职        务：</w:t>
      </w:r>
      <w:r>
        <w:rPr>
          <w:rFonts w:hint="eastAsia" w:ascii="宋体" w:hAnsi="宋体" w:cs="宋体"/>
          <w:sz w:val="24"/>
          <w:szCs w:val="24"/>
          <w:u w:val="single"/>
        </w:rPr>
        <w:t xml:space="preserve">                </w:t>
      </w: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（投标人名称）的法定代表人。</w:t>
      </w:r>
    </w:p>
    <w:p>
      <w:pPr>
        <w:pStyle w:val="62"/>
        <w:widowControl/>
        <w:spacing w:line="480" w:lineRule="exact"/>
        <w:ind w:firstLine="480" w:firstLineChars="200"/>
        <w:rPr>
          <w:rFonts w:ascii="宋体" w:hAnsi="宋体" w:cs="宋体"/>
          <w:sz w:val="24"/>
          <w:szCs w:val="24"/>
        </w:rPr>
      </w:pP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特此证明。</w:t>
      </w:r>
    </w:p>
    <w:p>
      <w:pPr>
        <w:pStyle w:val="62"/>
        <w:widowControl/>
        <w:spacing w:line="480" w:lineRule="exact"/>
        <w:ind w:firstLine="480" w:firstLineChars="200"/>
        <w:rPr>
          <w:rFonts w:ascii="宋体" w:hAnsi="宋体" w:cs="宋体"/>
          <w:sz w:val="24"/>
          <w:szCs w:val="24"/>
        </w:rPr>
      </w:pPr>
    </w:p>
    <w:p>
      <w:pPr>
        <w:pStyle w:val="62"/>
        <w:widowControl/>
        <w:spacing w:line="480" w:lineRule="exact"/>
        <w:ind w:firstLine="480" w:firstLineChars="200"/>
        <w:rPr>
          <w:rFonts w:ascii="宋体" w:hAnsi="宋体" w:cs="宋体"/>
          <w:sz w:val="24"/>
          <w:szCs w:val="24"/>
        </w:rPr>
      </w:pPr>
    </w:p>
    <w:p>
      <w:pPr>
        <w:pStyle w:val="62"/>
        <w:widowControl/>
        <w:spacing w:line="480" w:lineRule="exact"/>
        <w:ind w:firstLine="480" w:firstLineChars="200"/>
        <w:jc w:val="right"/>
        <w:rPr>
          <w:rFonts w:ascii="宋体" w:hAnsi="宋体" w:cs="宋体"/>
          <w:sz w:val="24"/>
          <w:szCs w:val="24"/>
        </w:rPr>
      </w:pPr>
      <w:r>
        <w:rPr>
          <w:rFonts w:hint="eastAsia" w:ascii="宋体" w:hAnsi="宋体" w:cs="宋体"/>
          <w:sz w:val="24"/>
          <w:szCs w:val="24"/>
        </w:rPr>
        <w:t>投标人：</w:t>
      </w:r>
      <w:r>
        <w:rPr>
          <w:rFonts w:hint="eastAsia" w:ascii="宋体" w:hAnsi="宋体" w:cs="宋体"/>
          <w:sz w:val="24"/>
          <w:szCs w:val="24"/>
          <w:u w:val="single"/>
        </w:rPr>
        <w:t xml:space="preserve">                          </w:t>
      </w:r>
      <w:r>
        <w:rPr>
          <w:rFonts w:hint="eastAsia" w:ascii="宋体" w:hAnsi="宋体" w:cs="宋体"/>
          <w:sz w:val="24"/>
          <w:szCs w:val="24"/>
        </w:rPr>
        <w:t>（盖单位章）</w:t>
      </w:r>
    </w:p>
    <w:p>
      <w:pPr>
        <w:pStyle w:val="62"/>
        <w:widowControl/>
        <w:spacing w:line="480" w:lineRule="exact"/>
        <w:ind w:firstLine="480" w:firstLineChars="200"/>
        <w:jc w:val="right"/>
        <w:rPr>
          <w:rFonts w:ascii="宋体" w:hAnsi="宋体" w:cs="宋体"/>
          <w:sz w:val="24"/>
          <w:szCs w:val="24"/>
        </w:rPr>
      </w:pPr>
      <w:r>
        <w:rPr>
          <w:rFonts w:ascii="宋体" w:hAnsi="宋体" w:cs="宋体"/>
          <w:sz w:val="24"/>
          <w:szCs w:val="24"/>
          <w:u w:val="single"/>
        </w:rPr>
        <w:t xml:space="preserve">      </w:t>
      </w:r>
      <w:r>
        <w:rPr>
          <w:rFonts w:hint="eastAsia" w:ascii="宋体" w:hAnsi="宋体" w:cs="宋体"/>
          <w:sz w:val="24"/>
          <w:szCs w:val="24"/>
        </w:rPr>
        <w:t>年</w:t>
      </w:r>
      <w:r>
        <w:rPr>
          <w:rFonts w:ascii="宋体" w:hAnsi="宋体" w:cs="宋体"/>
          <w:sz w:val="24"/>
          <w:szCs w:val="24"/>
          <w:u w:val="single"/>
        </w:rPr>
        <w:t xml:space="preserve">    </w:t>
      </w:r>
      <w:r>
        <w:rPr>
          <w:rFonts w:hint="eastAsia" w:ascii="宋体" w:hAnsi="宋体" w:cs="宋体"/>
          <w:sz w:val="24"/>
          <w:szCs w:val="24"/>
        </w:rPr>
        <w:t>月</w:t>
      </w:r>
      <w:r>
        <w:rPr>
          <w:rFonts w:ascii="宋体" w:hAnsi="宋体" w:cs="宋体"/>
          <w:sz w:val="24"/>
          <w:szCs w:val="24"/>
          <w:u w:val="single"/>
        </w:rPr>
        <w:t xml:space="preserve">    </w:t>
      </w:r>
      <w:r>
        <w:rPr>
          <w:rFonts w:hint="eastAsia" w:ascii="宋体" w:hAnsi="宋体" w:cs="宋体"/>
          <w:sz w:val="24"/>
          <w:szCs w:val="24"/>
        </w:rPr>
        <w:t xml:space="preserve">日 </w:t>
      </w:r>
    </w:p>
    <w:p>
      <w:pPr>
        <w:pStyle w:val="62"/>
        <w:widowControl/>
        <w:spacing w:line="480" w:lineRule="exact"/>
        <w:jc w:val="left"/>
        <w:rPr>
          <w:rFonts w:ascii="宋体" w:hAnsi="宋体" w:cs="宋体"/>
          <w:sz w:val="24"/>
          <w:szCs w:val="24"/>
        </w:rPr>
      </w:pPr>
    </w:p>
    <w:p>
      <w:pPr>
        <w:pStyle w:val="62"/>
        <w:widowControl/>
        <w:spacing w:line="480" w:lineRule="exact"/>
        <w:jc w:val="left"/>
        <w:rPr>
          <w:rFonts w:ascii="宋体" w:hAnsi="宋体" w:cs="宋体"/>
          <w:sz w:val="24"/>
          <w:szCs w:val="24"/>
        </w:rPr>
      </w:pPr>
      <w:r>
        <w:rPr>
          <w:rFonts w:hint="eastAsia" w:ascii="宋体" w:hAnsi="宋体" w:cs="宋体"/>
          <w:sz w:val="24"/>
          <w:szCs w:val="24"/>
        </w:rPr>
        <w:t>备注:附法定代表人身份证复印件</w:t>
      </w:r>
      <w:r>
        <w:rPr>
          <w:rFonts w:ascii="宋体" w:hAnsi="宋体" w:cs="宋体"/>
          <w:sz w:val="24"/>
          <w:szCs w:val="24"/>
        </w:rPr>
        <w:br w:type="page"/>
      </w:r>
    </w:p>
    <w:p>
      <w:pPr>
        <w:pStyle w:val="6"/>
        <w:spacing w:line="480" w:lineRule="exact"/>
        <w:rPr>
          <w:rFonts w:cs="宋体"/>
          <w:b w:val="0"/>
        </w:rPr>
      </w:pPr>
      <w:bookmarkStart w:id="260" w:name="_Toc41658931"/>
      <w:bookmarkStart w:id="261" w:name="_Toc42015199"/>
      <w:bookmarkStart w:id="262" w:name="_Toc42015414"/>
      <w:bookmarkStart w:id="263" w:name="_Toc13629"/>
      <w:r>
        <w:rPr>
          <w:rFonts w:hint="eastAsia" w:cs="宋体"/>
        </w:rPr>
        <w:t>（三）授权委托书</w:t>
      </w:r>
      <w:bookmarkEnd w:id="260"/>
      <w:bookmarkEnd w:id="261"/>
      <w:bookmarkEnd w:id="262"/>
      <w:bookmarkEnd w:id="263"/>
    </w:p>
    <w:p>
      <w:pPr>
        <w:pStyle w:val="62"/>
        <w:widowControl/>
        <w:spacing w:line="480" w:lineRule="exact"/>
        <w:ind w:firstLine="420" w:firstLineChars="200"/>
        <w:rPr>
          <w:rFonts w:ascii="宋体" w:hAnsi="宋体" w:cs="宋体"/>
        </w:rPr>
      </w:pP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本人</w:t>
      </w:r>
      <w:r>
        <w:rPr>
          <w:rFonts w:hint="eastAsia" w:ascii="宋体" w:hAnsi="宋体" w:cs="宋体"/>
          <w:sz w:val="24"/>
          <w:szCs w:val="24"/>
          <w:u w:val="single"/>
        </w:rPr>
        <w:t xml:space="preserve">         </w:t>
      </w:r>
      <w:r>
        <w:rPr>
          <w:rFonts w:hint="eastAsia" w:ascii="宋体" w:hAnsi="宋体" w:cs="宋体"/>
          <w:sz w:val="24"/>
          <w:szCs w:val="24"/>
        </w:rPr>
        <w:t>（姓名）系</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（投标人名称）的法定代表人，现委托</w:t>
      </w:r>
      <w:r>
        <w:rPr>
          <w:rFonts w:hint="eastAsia" w:ascii="宋体" w:hAnsi="宋体" w:cs="宋体"/>
          <w:sz w:val="24"/>
          <w:szCs w:val="24"/>
          <w:u w:val="single"/>
        </w:rPr>
        <w:t xml:space="preserve">         </w:t>
      </w:r>
      <w:r>
        <w:rPr>
          <w:rFonts w:hint="eastAsia" w:ascii="宋体" w:hAnsi="宋体" w:cs="宋体"/>
          <w:sz w:val="24"/>
          <w:szCs w:val="24"/>
        </w:rPr>
        <w:t>（姓名）为我方代理人。代理人根据授权，以我方名义澄清、说明、补正、递交、撤回、修改</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（项目名称）投标文件、签订合同和处理有关事宜，其法律后果由我方承担。</w:t>
      </w:r>
    </w:p>
    <w:p>
      <w:pPr>
        <w:pStyle w:val="62"/>
        <w:widowControl/>
        <w:spacing w:line="480" w:lineRule="exact"/>
        <w:ind w:firstLine="480" w:firstLineChars="200"/>
        <w:rPr>
          <w:rFonts w:ascii="宋体" w:hAnsi="宋体" w:cs="宋体"/>
          <w:sz w:val="24"/>
          <w:szCs w:val="24"/>
          <w:u w:val="single"/>
        </w:rPr>
      </w:pPr>
      <w:r>
        <w:rPr>
          <w:rFonts w:hint="eastAsia" w:ascii="宋体" w:hAnsi="宋体" w:cs="宋体"/>
          <w:sz w:val="24"/>
          <w:szCs w:val="24"/>
        </w:rPr>
        <w:t>委托期限：</w:t>
      </w:r>
      <w:r>
        <w:rPr>
          <w:rFonts w:hint="eastAsia" w:ascii="宋体" w:hAnsi="宋体" w:cs="宋体"/>
          <w:sz w:val="24"/>
          <w:szCs w:val="24"/>
          <w:u w:val="single"/>
        </w:rPr>
        <w:t xml:space="preserve">                                                                          </w:t>
      </w:r>
    </w:p>
    <w:p>
      <w:pPr>
        <w:pStyle w:val="62"/>
        <w:widowControl/>
        <w:spacing w:line="480" w:lineRule="exac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w:t>
      </w: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代理人无转委托权。</w:t>
      </w:r>
    </w:p>
    <w:p>
      <w:pPr>
        <w:pStyle w:val="62"/>
        <w:widowControl/>
        <w:spacing w:line="480" w:lineRule="exact"/>
        <w:ind w:firstLine="480" w:firstLineChars="200"/>
        <w:rPr>
          <w:rFonts w:ascii="宋体" w:hAnsi="宋体" w:cs="宋体"/>
          <w:sz w:val="24"/>
          <w:szCs w:val="24"/>
        </w:rPr>
      </w:pP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附：法定代表人身份证（复印件）</w:t>
      </w:r>
    </w:p>
    <w:p>
      <w:pPr>
        <w:pStyle w:val="62"/>
        <w:widowControl/>
        <w:spacing w:line="480" w:lineRule="exact"/>
        <w:ind w:firstLine="480" w:firstLineChars="200"/>
        <w:jc w:val="right"/>
        <w:rPr>
          <w:rFonts w:ascii="宋体" w:hAnsi="宋体" w:cs="宋体"/>
          <w:sz w:val="24"/>
          <w:szCs w:val="24"/>
        </w:rPr>
      </w:pPr>
    </w:p>
    <w:p>
      <w:pPr>
        <w:pStyle w:val="62"/>
        <w:widowControl/>
        <w:spacing w:line="480" w:lineRule="exact"/>
        <w:ind w:firstLine="480" w:firstLineChars="200"/>
        <w:jc w:val="right"/>
        <w:rPr>
          <w:rFonts w:ascii="宋体" w:hAnsi="宋体" w:cs="宋体"/>
          <w:sz w:val="24"/>
          <w:szCs w:val="24"/>
        </w:rPr>
      </w:pPr>
    </w:p>
    <w:p>
      <w:pPr>
        <w:pStyle w:val="62"/>
        <w:widowControl/>
        <w:spacing w:line="480" w:lineRule="exact"/>
        <w:ind w:firstLine="480" w:firstLineChars="200"/>
        <w:jc w:val="right"/>
        <w:rPr>
          <w:rFonts w:ascii="宋体" w:hAnsi="宋体" w:cs="宋体"/>
          <w:sz w:val="24"/>
          <w:szCs w:val="24"/>
        </w:rPr>
      </w:pPr>
      <w:r>
        <w:rPr>
          <w:rFonts w:hint="eastAsia" w:ascii="宋体" w:hAnsi="宋体" w:cs="宋体"/>
          <w:sz w:val="24"/>
          <w:szCs w:val="24"/>
        </w:rPr>
        <w:t>投  标  人：</w:t>
      </w:r>
      <w:r>
        <w:rPr>
          <w:rFonts w:hint="eastAsia" w:ascii="宋体" w:hAnsi="宋体" w:cs="宋体"/>
          <w:sz w:val="24"/>
          <w:szCs w:val="24"/>
          <w:u w:val="single"/>
        </w:rPr>
        <w:t xml:space="preserve">                        </w:t>
      </w:r>
      <w:r>
        <w:rPr>
          <w:rFonts w:hint="eastAsia" w:ascii="宋体" w:hAnsi="宋体" w:cs="宋体"/>
          <w:sz w:val="24"/>
          <w:szCs w:val="24"/>
        </w:rPr>
        <w:t>（盖单位章）</w:t>
      </w:r>
    </w:p>
    <w:p>
      <w:pPr>
        <w:pStyle w:val="62"/>
        <w:widowControl/>
        <w:spacing w:line="480" w:lineRule="exact"/>
        <w:ind w:firstLine="480" w:firstLineChars="200"/>
        <w:jc w:val="right"/>
        <w:rPr>
          <w:rFonts w:ascii="宋体" w:hAnsi="宋体" w:cs="宋体"/>
          <w:sz w:val="24"/>
          <w:szCs w:val="24"/>
        </w:rPr>
      </w:pPr>
    </w:p>
    <w:p>
      <w:pPr>
        <w:pStyle w:val="62"/>
        <w:widowControl/>
        <w:spacing w:line="480" w:lineRule="exact"/>
        <w:ind w:firstLine="480" w:firstLineChars="200"/>
        <w:jc w:val="right"/>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（签章）</w:t>
      </w:r>
    </w:p>
    <w:p>
      <w:pPr>
        <w:pStyle w:val="62"/>
        <w:widowControl/>
        <w:spacing w:line="480" w:lineRule="exact"/>
        <w:ind w:firstLine="480" w:firstLineChars="200"/>
        <w:jc w:val="right"/>
        <w:rPr>
          <w:rFonts w:ascii="宋体" w:hAnsi="宋体" w:cs="宋体"/>
          <w:sz w:val="24"/>
          <w:szCs w:val="24"/>
        </w:rPr>
      </w:pPr>
    </w:p>
    <w:p>
      <w:pPr>
        <w:pStyle w:val="62"/>
        <w:widowControl/>
        <w:kinsoku w:val="0"/>
        <w:overflowPunct w:val="0"/>
        <w:autoSpaceDE w:val="0"/>
        <w:autoSpaceDN w:val="0"/>
        <w:spacing w:line="480" w:lineRule="exact"/>
        <w:ind w:firstLine="480" w:firstLineChars="200"/>
        <w:jc w:val="right"/>
        <w:rPr>
          <w:rFonts w:ascii="宋体" w:hAnsi="宋体" w:cs="宋体"/>
          <w:sz w:val="24"/>
          <w:szCs w:val="24"/>
        </w:rPr>
      </w:pPr>
      <w:r>
        <w:rPr>
          <w:rFonts w:hint="eastAsia" w:ascii="宋体" w:hAnsi="宋体" w:cs="宋体"/>
          <w:sz w:val="24"/>
          <w:szCs w:val="24"/>
        </w:rPr>
        <w:t>身份证号码：</w:t>
      </w:r>
      <w:r>
        <w:rPr>
          <w:rFonts w:hint="eastAsia" w:ascii="宋体" w:hAnsi="宋体" w:cs="宋体"/>
          <w:sz w:val="24"/>
          <w:szCs w:val="24"/>
          <w:u w:val="single"/>
        </w:rPr>
        <w:t xml:space="preserve">                                   </w:t>
      </w:r>
      <w:r>
        <w:rPr>
          <w:rFonts w:hint="eastAsia" w:ascii="宋体" w:hAnsi="宋体" w:cs="宋体"/>
          <w:sz w:val="24"/>
          <w:szCs w:val="24"/>
        </w:rPr>
        <w:t>。</w:t>
      </w:r>
    </w:p>
    <w:p>
      <w:pPr>
        <w:pStyle w:val="62"/>
        <w:widowControl/>
        <w:kinsoku w:val="0"/>
        <w:overflowPunct w:val="0"/>
        <w:autoSpaceDE w:val="0"/>
        <w:autoSpaceDN w:val="0"/>
        <w:spacing w:line="480" w:lineRule="exact"/>
        <w:ind w:firstLine="480" w:firstLineChars="200"/>
        <w:jc w:val="right"/>
        <w:rPr>
          <w:rFonts w:ascii="宋体" w:hAnsi="宋体" w:cs="宋体"/>
          <w:sz w:val="24"/>
          <w:szCs w:val="24"/>
        </w:rPr>
      </w:pPr>
    </w:p>
    <w:p>
      <w:pPr>
        <w:pStyle w:val="62"/>
        <w:widowControl/>
        <w:kinsoku w:val="0"/>
        <w:overflowPunct w:val="0"/>
        <w:autoSpaceDE w:val="0"/>
        <w:autoSpaceDN w:val="0"/>
        <w:spacing w:line="480" w:lineRule="exact"/>
        <w:ind w:firstLine="480" w:firstLineChars="200"/>
        <w:jc w:val="right"/>
        <w:rPr>
          <w:rFonts w:ascii="宋体" w:hAnsi="宋体" w:cs="宋体"/>
          <w:sz w:val="24"/>
          <w:szCs w:val="24"/>
        </w:rPr>
      </w:pPr>
      <w:r>
        <w:rPr>
          <w:rFonts w:hint="eastAsia" w:ascii="宋体" w:hAnsi="宋体" w:cs="宋体"/>
          <w:sz w:val="24"/>
          <w:szCs w:val="24"/>
        </w:rPr>
        <w:t>委托代理人：</w:t>
      </w:r>
      <w:r>
        <w:rPr>
          <w:rFonts w:hint="eastAsia" w:ascii="宋体" w:hAnsi="宋体" w:cs="宋体"/>
          <w:sz w:val="24"/>
          <w:szCs w:val="24"/>
          <w:u w:val="single"/>
        </w:rPr>
        <w:t xml:space="preserve">                                   </w:t>
      </w:r>
      <w:r>
        <w:rPr>
          <w:rFonts w:hint="eastAsia" w:ascii="宋体" w:hAnsi="宋体" w:cs="宋体"/>
          <w:sz w:val="24"/>
          <w:szCs w:val="24"/>
        </w:rPr>
        <w:t>。</w:t>
      </w:r>
    </w:p>
    <w:p>
      <w:pPr>
        <w:pStyle w:val="62"/>
        <w:widowControl/>
        <w:kinsoku w:val="0"/>
        <w:overflowPunct w:val="0"/>
        <w:autoSpaceDE w:val="0"/>
        <w:autoSpaceDN w:val="0"/>
        <w:spacing w:line="480" w:lineRule="exact"/>
        <w:ind w:firstLine="480" w:firstLineChars="200"/>
        <w:jc w:val="right"/>
        <w:rPr>
          <w:rFonts w:ascii="宋体" w:hAnsi="宋体" w:cs="宋体"/>
          <w:sz w:val="24"/>
          <w:szCs w:val="24"/>
        </w:rPr>
      </w:pPr>
    </w:p>
    <w:p>
      <w:pPr>
        <w:pStyle w:val="62"/>
        <w:widowControl/>
        <w:kinsoku w:val="0"/>
        <w:overflowPunct w:val="0"/>
        <w:autoSpaceDE w:val="0"/>
        <w:autoSpaceDN w:val="0"/>
        <w:spacing w:line="480" w:lineRule="exact"/>
        <w:ind w:firstLine="480" w:firstLineChars="200"/>
        <w:jc w:val="right"/>
        <w:rPr>
          <w:rFonts w:ascii="宋体" w:hAnsi="宋体" w:cs="宋体"/>
          <w:sz w:val="24"/>
          <w:szCs w:val="24"/>
        </w:rPr>
      </w:pPr>
      <w:r>
        <w:rPr>
          <w:rFonts w:hint="eastAsia" w:ascii="宋体" w:hAnsi="宋体" w:cs="宋体"/>
          <w:sz w:val="24"/>
          <w:szCs w:val="24"/>
        </w:rPr>
        <w:t>身份证号码：</w:t>
      </w:r>
      <w:r>
        <w:rPr>
          <w:rFonts w:hint="eastAsia" w:ascii="宋体" w:hAnsi="宋体" w:cs="宋体"/>
          <w:sz w:val="24"/>
          <w:szCs w:val="24"/>
          <w:u w:val="single"/>
        </w:rPr>
        <w:t xml:space="preserve">                                   </w:t>
      </w:r>
      <w:r>
        <w:rPr>
          <w:rFonts w:hint="eastAsia" w:ascii="宋体" w:hAnsi="宋体" w:cs="宋体"/>
          <w:sz w:val="24"/>
          <w:szCs w:val="24"/>
        </w:rPr>
        <w:t>。</w:t>
      </w:r>
    </w:p>
    <w:p>
      <w:pPr>
        <w:pStyle w:val="62"/>
        <w:widowControl/>
        <w:spacing w:line="480" w:lineRule="exact"/>
        <w:ind w:firstLine="480" w:firstLineChars="200"/>
        <w:jc w:val="right"/>
        <w:rPr>
          <w:rFonts w:ascii="宋体" w:hAnsi="宋体" w:cs="宋体"/>
          <w:sz w:val="24"/>
          <w:szCs w:val="24"/>
        </w:rPr>
      </w:pPr>
    </w:p>
    <w:p>
      <w:pPr>
        <w:pStyle w:val="62"/>
        <w:widowControl/>
        <w:spacing w:line="480" w:lineRule="exact"/>
        <w:ind w:firstLine="480" w:firstLineChars="200"/>
        <w:jc w:val="right"/>
        <w:rPr>
          <w:rFonts w:ascii="宋体" w:hAnsi="宋体" w:cs="宋体"/>
          <w:sz w:val="24"/>
          <w:szCs w:val="24"/>
        </w:rPr>
      </w:pPr>
      <w:r>
        <w:rPr>
          <w:rFonts w:ascii="宋体" w:hAnsi="宋体" w:cs="宋体"/>
          <w:sz w:val="24"/>
          <w:szCs w:val="24"/>
          <w:u w:val="single"/>
        </w:rPr>
        <w:t xml:space="preserve">      </w:t>
      </w:r>
      <w:r>
        <w:rPr>
          <w:rFonts w:hint="eastAsia" w:ascii="宋体" w:hAnsi="宋体" w:cs="宋体"/>
          <w:sz w:val="24"/>
          <w:szCs w:val="24"/>
        </w:rPr>
        <w:t>年</w:t>
      </w:r>
      <w:r>
        <w:rPr>
          <w:rFonts w:ascii="宋体" w:hAnsi="宋体" w:cs="宋体"/>
          <w:sz w:val="24"/>
          <w:szCs w:val="24"/>
          <w:u w:val="single"/>
        </w:rPr>
        <w:t xml:space="preserve">    </w:t>
      </w:r>
      <w:r>
        <w:rPr>
          <w:rFonts w:hint="eastAsia" w:ascii="宋体" w:hAnsi="宋体" w:cs="宋体"/>
          <w:sz w:val="24"/>
          <w:szCs w:val="24"/>
        </w:rPr>
        <w:t>月</w:t>
      </w:r>
      <w:r>
        <w:rPr>
          <w:rFonts w:ascii="宋体" w:hAnsi="宋体" w:cs="宋体"/>
          <w:sz w:val="24"/>
          <w:szCs w:val="24"/>
          <w:u w:val="single"/>
        </w:rPr>
        <w:t xml:space="preserve">    </w:t>
      </w:r>
      <w:r>
        <w:rPr>
          <w:rFonts w:hint="eastAsia" w:ascii="宋体" w:hAnsi="宋体" w:cs="宋体"/>
          <w:sz w:val="24"/>
          <w:szCs w:val="24"/>
        </w:rPr>
        <w:t>日</w:t>
      </w:r>
    </w:p>
    <w:p>
      <w:pPr>
        <w:pStyle w:val="62"/>
        <w:widowControl/>
        <w:spacing w:line="480" w:lineRule="exact"/>
        <w:ind w:firstLine="480" w:firstLineChars="200"/>
        <w:rPr>
          <w:rFonts w:ascii="宋体" w:hAnsi="宋体" w:cs="宋体"/>
          <w:sz w:val="24"/>
          <w:szCs w:val="24"/>
        </w:rPr>
      </w:pPr>
    </w:p>
    <w:p>
      <w:pPr>
        <w:pStyle w:val="62"/>
        <w:widowControl/>
        <w:spacing w:line="480" w:lineRule="exact"/>
        <w:ind w:firstLine="480" w:firstLineChars="200"/>
        <w:rPr>
          <w:rFonts w:ascii="宋体" w:hAnsi="宋体" w:cs="宋体"/>
          <w:sz w:val="24"/>
          <w:szCs w:val="24"/>
        </w:rPr>
      </w:pPr>
      <w:r>
        <w:rPr>
          <w:rFonts w:hint="eastAsia" w:ascii="宋体" w:hAnsi="宋体" w:cs="宋体"/>
          <w:sz w:val="24"/>
          <w:szCs w:val="24"/>
        </w:rPr>
        <w:t>备注: 附委托代理人身份证复印件</w:t>
      </w:r>
    </w:p>
    <w:p>
      <w:pPr>
        <w:pStyle w:val="6"/>
        <w:spacing w:line="480" w:lineRule="exact"/>
        <w:ind w:firstLine="312"/>
        <w:rPr>
          <w:rFonts w:cs="宋体"/>
        </w:rPr>
      </w:pPr>
      <w:bookmarkStart w:id="264" w:name="_Toc14221"/>
      <w:bookmarkStart w:id="265" w:name="_Toc23389_WPSOffice_Level2"/>
      <w:bookmarkStart w:id="266" w:name="_Toc18603120"/>
      <w:bookmarkStart w:id="267" w:name="_Toc41658932"/>
      <w:bookmarkStart w:id="268" w:name="_Toc42015200"/>
      <w:bookmarkStart w:id="269" w:name="_Toc42015415"/>
      <w:bookmarkStart w:id="270" w:name="_Toc30200"/>
      <w:r>
        <w:rPr>
          <w:rFonts w:hint="eastAsia" w:cs="宋体"/>
        </w:rPr>
        <w:t>（四）投标人情况介绍</w:t>
      </w:r>
      <w:bookmarkEnd w:id="264"/>
      <w:bookmarkEnd w:id="265"/>
      <w:bookmarkEnd w:id="266"/>
      <w:bookmarkEnd w:id="267"/>
      <w:bookmarkEnd w:id="268"/>
      <w:bookmarkEnd w:id="269"/>
      <w:bookmarkEnd w:id="270"/>
    </w:p>
    <w:tbl>
      <w:tblPr>
        <w:tblStyle w:val="44"/>
        <w:tblW w:w="8834" w:type="dxa"/>
        <w:jc w:val="center"/>
        <w:tblLayout w:type="fixed"/>
        <w:tblCellMar>
          <w:top w:w="0" w:type="dxa"/>
          <w:left w:w="108" w:type="dxa"/>
          <w:bottom w:w="0" w:type="dxa"/>
          <w:right w:w="108" w:type="dxa"/>
        </w:tblCellMar>
      </w:tblPr>
      <w:tblGrid>
        <w:gridCol w:w="2263"/>
        <w:gridCol w:w="749"/>
        <w:gridCol w:w="565"/>
        <w:gridCol w:w="954"/>
        <w:gridCol w:w="360"/>
        <w:gridCol w:w="1314"/>
        <w:gridCol w:w="27"/>
        <w:gridCol w:w="567"/>
        <w:gridCol w:w="720"/>
        <w:gridCol w:w="1315"/>
      </w:tblGrid>
      <w:tr>
        <w:tblPrEx>
          <w:tblCellMar>
            <w:top w:w="0" w:type="dxa"/>
            <w:left w:w="108" w:type="dxa"/>
            <w:bottom w:w="0" w:type="dxa"/>
            <w:right w:w="108" w:type="dxa"/>
          </w:tblCellMar>
        </w:tblPrEx>
        <w:trPr>
          <w:trHeight w:val="425" w:hRule="atLeast"/>
          <w:jc w:val="center"/>
        </w:trPr>
        <w:tc>
          <w:tcPr>
            <w:tcW w:w="8834" w:type="dxa"/>
            <w:gridSpan w:val="10"/>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1.单位简况</w:t>
            </w: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单位名称</w:t>
            </w: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ind w:right="480"/>
              <w:jc w:val="center"/>
              <w:rPr>
                <w:rFonts w:ascii="仿宋_GB2312" w:hAnsi="宋体"/>
                <w:color w:val="auto"/>
              </w:rPr>
            </w:pP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联系人</w:t>
            </w: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通讯地址</w:t>
            </w: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联系电话</w:t>
            </w: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邮编</w:t>
            </w: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传真</w:t>
            </w: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营业执照注册地</w:t>
            </w: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营业执照注册号</w:t>
            </w: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注册资金</w:t>
            </w: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经济性质</w:t>
            </w: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8834" w:type="dxa"/>
            <w:gridSpan w:val="10"/>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2.公司经营及资金状况</w:t>
            </w: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开户银行及地址</w:t>
            </w: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开户账号</w:t>
            </w: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资产总额</w:t>
            </w: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万元</w:t>
            </w: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固定资产</w:t>
            </w: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万元</w:t>
            </w:r>
          </w:p>
        </w:tc>
      </w:tr>
      <w:tr>
        <w:tblPrEx>
          <w:tblCellMar>
            <w:top w:w="0" w:type="dxa"/>
            <w:left w:w="108" w:type="dxa"/>
            <w:bottom w:w="0" w:type="dxa"/>
            <w:right w:w="108" w:type="dxa"/>
          </w:tblCellMar>
        </w:tblPrEx>
        <w:trPr>
          <w:trHeight w:val="425" w:hRule="atLeast"/>
          <w:jc w:val="center"/>
        </w:trPr>
        <w:tc>
          <w:tcPr>
            <w:tcW w:w="2263" w:type="dxa"/>
            <w:vMerge w:val="restart"/>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近三年收入数据表</w:t>
            </w: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财务年度</w:t>
            </w: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收入（ 万元）</w:t>
            </w: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备注</w:t>
            </w:r>
          </w:p>
        </w:tc>
      </w:tr>
      <w:tr>
        <w:tblPrEx>
          <w:tblCellMar>
            <w:top w:w="0" w:type="dxa"/>
            <w:left w:w="108" w:type="dxa"/>
            <w:bottom w:w="0" w:type="dxa"/>
            <w:right w:w="108" w:type="dxa"/>
          </w:tblCellMar>
        </w:tblPrEx>
        <w:trPr>
          <w:trHeight w:val="425" w:hRule="atLeast"/>
          <w:jc w:val="center"/>
        </w:trPr>
        <w:tc>
          <w:tcPr>
            <w:tcW w:w="2263" w:type="dxa"/>
            <w:vMerge w:val="continue"/>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2263" w:type="dxa"/>
            <w:vMerge w:val="continue"/>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2263" w:type="dxa"/>
            <w:vMerge w:val="continue"/>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8834" w:type="dxa"/>
            <w:gridSpan w:val="10"/>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3.投标人相关资质证书、荣誉一览表</w:t>
            </w: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证书名称</w:t>
            </w: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发证单位</w:t>
            </w: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证书等级</w:t>
            </w: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证书有限期</w:t>
            </w: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w:t>
            </w:r>
          </w:p>
        </w:tc>
        <w:tc>
          <w:tcPr>
            <w:tcW w:w="2268" w:type="dxa"/>
            <w:gridSpan w:val="3"/>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268" w:type="dxa"/>
            <w:gridSpan w:val="4"/>
            <w:tcBorders>
              <w:top w:val="single" w:color="000000" w:sz="4" w:space="0"/>
              <w:left w:val="single" w:color="000000" w:sz="6" w:space="0"/>
              <w:bottom w:val="single" w:color="000000" w:sz="4" w:space="0"/>
              <w:right w:val="single" w:color="000000" w:sz="6" w:space="0"/>
            </w:tcBorders>
            <w:vAlign w:val="center"/>
          </w:tcPr>
          <w:p>
            <w:pPr>
              <w:pStyle w:val="152"/>
              <w:jc w:val="center"/>
              <w:rPr>
                <w:rFonts w:ascii="仿宋_GB2312" w:hAnsi="宋体"/>
                <w:color w:val="auto"/>
              </w:rPr>
            </w:pPr>
          </w:p>
        </w:tc>
        <w:tc>
          <w:tcPr>
            <w:tcW w:w="2035"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8834" w:type="dxa"/>
            <w:gridSpan w:val="10"/>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4.企业人员情况介绍</w:t>
            </w: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法定代表人姓名</w:t>
            </w:r>
          </w:p>
        </w:tc>
        <w:tc>
          <w:tcPr>
            <w:tcW w:w="1314"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c>
          <w:tcPr>
            <w:tcW w:w="1314" w:type="dxa"/>
            <w:gridSpan w:val="2"/>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职务</w:t>
            </w:r>
          </w:p>
        </w:tc>
        <w:tc>
          <w:tcPr>
            <w:tcW w:w="1314" w:type="dxa"/>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c>
          <w:tcPr>
            <w:tcW w:w="1314" w:type="dxa"/>
            <w:gridSpan w:val="3"/>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职称</w:t>
            </w:r>
          </w:p>
        </w:tc>
        <w:tc>
          <w:tcPr>
            <w:tcW w:w="1315" w:type="dxa"/>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项目总负责人姓名</w:t>
            </w:r>
          </w:p>
        </w:tc>
        <w:tc>
          <w:tcPr>
            <w:tcW w:w="1314"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c>
          <w:tcPr>
            <w:tcW w:w="1314" w:type="dxa"/>
            <w:gridSpan w:val="2"/>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职务</w:t>
            </w:r>
          </w:p>
        </w:tc>
        <w:tc>
          <w:tcPr>
            <w:tcW w:w="1314" w:type="dxa"/>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c>
          <w:tcPr>
            <w:tcW w:w="1314" w:type="dxa"/>
            <w:gridSpan w:val="3"/>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职称</w:t>
            </w:r>
          </w:p>
        </w:tc>
        <w:tc>
          <w:tcPr>
            <w:tcW w:w="1315" w:type="dxa"/>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2263" w:type="dxa"/>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技术总负责人姓名</w:t>
            </w:r>
          </w:p>
        </w:tc>
        <w:tc>
          <w:tcPr>
            <w:tcW w:w="1314" w:type="dxa"/>
            <w:gridSpan w:val="2"/>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c>
          <w:tcPr>
            <w:tcW w:w="1314" w:type="dxa"/>
            <w:gridSpan w:val="2"/>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职务</w:t>
            </w:r>
          </w:p>
        </w:tc>
        <w:tc>
          <w:tcPr>
            <w:tcW w:w="1314" w:type="dxa"/>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c>
          <w:tcPr>
            <w:tcW w:w="1314" w:type="dxa"/>
            <w:gridSpan w:val="3"/>
            <w:tcBorders>
              <w:top w:val="single" w:color="000000" w:sz="4" w:space="0"/>
              <w:left w:val="single" w:color="000000" w:sz="4" w:space="0"/>
              <w:bottom w:val="single" w:color="000000" w:sz="4" w:space="0"/>
              <w:right w:val="single" w:color="000000" w:sz="6" w:space="0"/>
            </w:tcBorders>
            <w:vAlign w:val="center"/>
          </w:tcPr>
          <w:p>
            <w:pPr>
              <w:pStyle w:val="152"/>
              <w:jc w:val="center"/>
              <w:rPr>
                <w:rFonts w:ascii="仿宋_GB2312" w:hAnsi="宋体"/>
                <w:color w:val="auto"/>
              </w:rPr>
            </w:pPr>
            <w:r>
              <w:rPr>
                <w:rFonts w:hint="eastAsia" w:ascii="仿宋_GB2312" w:hAnsi="宋体"/>
                <w:color w:val="auto"/>
              </w:rPr>
              <w:t>职称</w:t>
            </w:r>
          </w:p>
        </w:tc>
        <w:tc>
          <w:tcPr>
            <w:tcW w:w="1315" w:type="dxa"/>
            <w:tcBorders>
              <w:top w:val="single" w:color="000000" w:sz="4" w:space="0"/>
              <w:left w:val="single" w:color="000000" w:sz="6"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3012" w:type="dxa"/>
            <w:gridSpan w:val="2"/>
            <w:tcBorders>
              <w:top w:val="single" w:color="000000" w:sz="4" w:space="0"/>
              <w:left w:val="single" w:color="000000" w:sz="4" w:space="0"/>
              <w:bottom w:val="single" w:color="000000" w:sz="4" w:space="0"/>
            </w:tcBorders>
            <w:vAlign w:val="center"/>
          </w:tcPr>
          <w:p>
            <w:pPr>
              <w:pStyle w:val="152"/>
              <w:jc w:val="center"/>
              <w:rPr>
                <w:rFonts w:ascii="仿宋_GB2312" w:hAnsi="宋体"/>
                <w:color w:val="auto"/>
              </w:rPr>
            </w:pPr>
          </w:p>
        </w:tc>
        <w:tc>
          <w:tcPr>
            <w:tcW w:w="3220" w:type="dxa"/>
            <w:gridSpan w:val="5"/>
            <w:tcBorders>
              <w:top w:val="single" w:color="000000" w:sz="4" w:space="0"/>
              <w:bottom w:val="single" w:color="000000" w:sz="4" w:space="0"/>
            </w:tcBorders>
            <w:vAlign w:val="center"/>
          </w:tcPr>
          <w:p>
            <w:pPr>
              <w:pStyle w:val="152"/>
              <w:jc w:val="center"/>
              <w:rPr>
                <w:rFonts w:ascii="仿宋_GB2312" w:hAnsi="宋体"/>
                <w:color w:val="auto"/>
              </w:rPr>
            </w:pPr>
            <w:r>
              <w:rPr>
                <w:rFonts w:hint="eastAsia" w:ascii="仿宋_GB2312" w:hAnsi="宋体"/>
                <w:color w:val="auto"/>
              </w:rPr>
              <w:t>5.企业概述</w:t>
            </w:r>
          </w:p>
        </w:tc>
        <w:tc>
          <w:tcPr>
            <w:tcW w:w="2602" w:type="dxa"/>
            <w:gridSpan w:val="3"/>
            <w:tcBorders>
              <w:top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8834" w:type="dxa"/>
            <w:gridSpan w:val="10"/>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kern w:val="2"/>
              </w:rPr>
              <w:t>（包括投标人获奖情况等)</w:t>
            </w:r>
          </w:p>
        </w:tc>
      </w:tr>
    </w:tbl>
    <w:p>
      <w:pPr>
        <w:pStyle w:val="25"/>
        <w:snapToGrid w:val="0"/>
        <w:spacing w:line="360" w:lineRule="auto"/>
        <w:rPr>
          <w:rFonts w:ascii="仿宋_GB2312" w:hAnsi="宋体" w:eastAsia="仿宋_GB2312" w:cs="宋体"/>
          <w:spacing w:val="20"/>
          <w:sz w:val="24"/>
          <w:szCs w:val="24"/>
        </w:rPr>
      </w:pPr>
    </w:p>
    <w:p>
      <w:pPr>
        <w:pStyle w:val="25"/>
        <w:snapToGrid w:val="0"/>
        <w:spacing w:line="360" w:lineRule="auto"/>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投 标 人（盖章）：</w:t>
      </w:r>
      <w:r>
        <w:rPr>
          <w:rFonts w:hint="eastAsia" w:ascii="仿宋_GB2312" w:hAnsi="宋体" w:eastAsia="仿宋_GB2312" w:cs="宋体"/>
          <w:spacing w:val="20"/>
          <w:sz w:val="24"/>
          <w:szCs w:val="24"/>
          <w:u w:val="single"/>
        </w:rPr>
        <w:t xml:space="preserve">                              </w:t>
      </w:r>
    </w:p>
    <w:p>
      <w:pPr>
        <w:pStyle w:val="25"/>
        <w:snapToGrid w:val="0"/>
        <w:spacing w:line="360" w:lineRule="auto"/>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法定代表人或委托代理人（签字或盖章）：</w:t>
      </w:r>
      <w:r>
        <w:rPr>
          <w:rFonts w:hint="eastAsia" w:ascii="仿宋_GB2312" w:hAnsi="宋体" w:eastAsia="仿宋_GB2312" w:cs="宋体"/>
          <w:spacing w:val="20"/>
          <w:sz w:val="24"/>
          <w:szCs w:val="24"/>
          <w:u w:val="single"/>
        </w:rPr>
        <w:t xml:space="preserve">             </w:t>
      </w:r>
    </w:p>
    <w:p>
      <w:pPr>
        <w:pStyle w:val="25"/>
        <w:snapToGrid w:val="0"/>
        <w:spacing w:line="360" w:lineRule="auto"/>
        <w:rPr>
          <w:rFonts w:ascii="仿宋_GB2312" w:hAnsi="宋体" w:eastAsia="仿宋_GB2312" w:cs="宋体"/>
          <w:spacing w:val="20"/>
          <w:sz w:val="24"/>
          <w:szCs w:val="24"/>
          <w:u w:val="single"/>
        </w:rPr>
      </w:pPr>
    </w:p>
    <w:p>
      <w:pPr>
        <w:pStyle w:val="25"/>
        <w:snapToGrid w:val="0"/>
        <w:spacing w:line="360" w:lineRule="auto"/>
        <w:jc w:val="right"/>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年</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月</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日</w:t>
      </w:r>
    </w:p>
    <w:p>
      <w:pPr>
        <w:pStyle w:val="6"/>
        <w:spacing w:line="480" w:lineRule="exact"/>
        <w:rPr>
          <w:rFonts w:cs="宋体"/>
          <w:szCs w:val="24"/>
        </w:rPr>
      </w:pPr>
      <w:bookmarkStart w:id="271" w:name="_Toc42015416"/>
      <w:bookmarkStart w:id="272" w:name="_Toc17911"/>
      <w:bookmarkStart w:id="273" w:name="_Toc42015201"/>
      <w:bookmarkStart w:id="274" w:name="_Toc41658933"/>
      <w:bookmarkStart w:id="275" w:name="_Toc18603122"/>
      <w:bookmarkStart w:id="276" w:name="_Toc4260_WPSOffice_Level2"/>
      <w:bookmarkStart w:id="277" w:name="_Toc1031"/>
      <w:bookmarkStart w:id="278" w:name="_Toc491164144"/>
      <w:r>
        <w:rPr>
          <w:rFonts w:hint="eastAsia" w:cs="宋体"/>
        </w:rPr>
        <w:t>（五）拟任本项目负责人情况一览表</w:t>
      </w:r>
      <w:bookmarkEnd w:id="271"/>
      <w:bookmarkEnd w:id="272"/>
      <w:bookmarkEnd w:id="273"/>
      <w:bookmarkEnd w:id="274"/>
      <w:bookmarkEnd w:id="275"/>
      <w:bookmarkEnd w:id="276"/>
      <w:bookmarkEnd w:id="277"/>
    </w:p>
    <w:tbl>
      <w:tblPr>
        <w:tblStyle w:val="44"/>
        <w:tblW w:w="8834" w:type="dxa"/>
        <w:jc w:val="center"/>
        <w:tblLayout w:type="fixed"/>
        <w:tblCellMar>
          <w:top w:w="0" w:type="dxa"/>
          <w:left w:w="108" w:type="dxa"/>
          <w:bottom w:w="0" w:type="dxa"/>
          <w:right w:w="108" w:type="dxa"/>
        </w:tblCellMar>
      </w:tblPr>
      <w:tblGrid>
        <w:gridCol w:w="1555"/>
        <w:gridCol w:w="1417"/>
        <w:gridCol w:w="1376"/>
        <w:gridCol w:w="69"/>
        <w:gridCol w:w="740"/>
        <w:gridCol w:w="792"/>
        <w:gridCol w:w="1412"/>
        <w:gridCol w:w="1473"/>
      </w:tblGrid>
      <w:tr>
        <w:tblPrEx>
          <w:tblCellMar>
            <w:top w:w="0" w:type="dxa"/>
            <w:left w:w="108" w:type="dxa"/>
            <w:bottom w:w="0" w:type="dxa"/>
            <w:right w:w="108" w:type="dxa"/>
          </w:tblCellMar>
        </w:tblPrEx>
        <w:trPr>
          <w:trHeight w:val="425" w:hRule="atLeast"/>
          <w:jc w:val="center"/>
        </w:trPr>
        <w:tc>
          <w:tcPr>
            <w:tcW w:w="1555"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姓名</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1445"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性别</w:t>
            </w:r>
          </w:p>
        </w:tc>
        <w:tc>
          <w:tcPr>
            <w:tcW w:w="1532"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1412"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出生年月</w:t>
            </w:r>
          </w:p>
        </w:tc>
        <w:tc>
          <w:tcPr>
            <w:tcW w:w="14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1555"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文化程度</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1445"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专业</w:t>
            </w:r>
          </w:p>
        </w:tc>
        <w:tc>
          <w:tcPr>
            <w:tcW w:w="1532"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1412"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政治面貌</w:t>
            </w:r>
          </w:p>
        </w:tc>
        <w:tc>
          <w:tcPr>
            <w:tcW w:w="14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1555"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现任职务</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1445"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技术职称</w:t>
            </w:r>
          </w:p>
        </w:tc>
        <w:tc>
          <w:tcPr>
            <w:tcW w:w="1532"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1412"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聘任时间</w:t>
            </w:r>
          </w:p>
        </w:tc>
        <w:tc>
          <w:tcPr>
            <w:tcW w:w="14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1555"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在本单位</w:t>
            </w:r>
          </w:p>
          <w:p>
            <w:pPr>
              <w:pStyle w:val="152"/>
              <w:jc w:val="center"/>
              <w:rPr>
                <w:rFonts w:ascii="仿宋_GB2312" w:hAnsi="宋体"/>
                <w:color w:val="auto"/>
              </w:rPr>
            </w:pPr>
            <w:r>
              <w:rPr>
                <w:rFonts w:hint="eastAsia" w:ascii="仿宋_GB2312" w:hAnsi="宋体"/>
                <w:color w:val="auto"/>
              </w:rPr>
              <w:t>从业年限</w:t>
            </w:r>
          </w:p>
        </w:tc>
        <w:tc>
          <w:tcPr>
            <w:tcW w:w="3602" w:type="dxa"/>
            <w:gridSpan w:val="4"/>
            <w:tcBorders>
              <w:top w:val="single" w:color="000000" w:sz="4" w:space="0"/>
              <w:left w:val="single" w:color="000000" w:sz="4" w:space="0"/>
              <w:bottom w:val="single" w:color="000000" w:sz="4" w:space="0"/>
            </w:tcBorders>
            <w:vAlign w:val="center"/>
          </w:tcPr>
          <w:p>
            <w:pPr>
              <w:pStyle w:val="152"/>
              <w:jc w:val="center"/>
              <w:rPr>
                <w:rFonts w:ascii="仿宋_GB2312" w:hAnsi="宋体"/>
                <w:color w:val="auto"/>
              </w:rPr>
            </w:pPr>
          </w:p>
        </w:tc>
        <w:tc>
          <w:tcPr>
            <w:tcW w:w="3677" w:type="dxa"/>
            <w:gridSpan w:val="3"/>
            <w:tcBorders>
              <w:top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1555" w:type="dxa"/>
            <w:vMerge w:val="restart"/>
            <w:tcBorders>
              <w:top w:val="single" w:color="000000" w:sz="4" w:space="0"/>
              <w:left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证书</w:t>
            </w: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序号</w:t>
            </w:r>
          </w:p>
        </w:tc>
        <w:tc>
          <w:tcPr>
            <w:tcW w:w="2977" w:type="dxa"/>
            <w:gridSpan w:val="4"/>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证书名</w:t>
            </w:r>
          </w:p>
        </w:tc>
        <w:tc>
          <w:tcPr>
            <w:tcW w:w="2885"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证书号</w:t>
            </w:r>
          </w:p>
        </w:tc>
      </w:tr>
      <w:tr>
        <w:tblPrEx>
          <w:tblCellMar>
            <w:top w:w="0" w:type="dxa"/>
            <w:left w:w="108" w:type="dxa"/>
            <w:bottom w:w="0" w:type="dxa"/>
            <w:right w:w="108" w:type="dxa"/>
          </w:tblCellMar>
        </w:tblPrEx>
        <w:trPr>
          <w:trHeight w:val="425" w:hRule="atLeast"/>
          <w:jc w:val="center"/>
        </w:trPr>
        <w:tc>
          <w:tcPr>
            <w:tcW w:w="1555" w:type="dxa"/>
            <w:vMerge w:val="continue"/>
            <w:tcBorders>
              <w:left w:val="single" w:color="000000" w:sz="4" w:space="0"/>
              <w:right w:val="single" w:color="000000" w:sz="4" w:space="0"/>
            </w:tcBorders>
            <w:vAlign w:val="center"/>
          </w:tcPr>
          <w:p>
            <w:pPr>
              <w:pStyle w:val="152"/>
              <w:jc w:val="center"/>
              <w:rPr>
                <w:rFonts w:ascii="仿宋_GB2312" w:hAnsi="宋体"/>
                <w:color w:val="auto"/>
              </w:rPr>
            </w:pP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2977" w:type="dxa"/>
            <w:gridSpan w:val="4"/>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2885"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1555" w:type="dxa"/>
            <w:vMerge w:val="continue"/>
            <w:tcBorders>
              <w:left w:val="single" w:color="000000" w:sz="4" w:space="0"/>
              <w:right w:val="single" w:color="000000" w:sz="4" w:space="0"/>
            </w:tcBorders>
            <w:vAlign w:val="center"/>
          </w:tcPr>
          <w:p>
            <w:pPr>
              <w:pStyle w:val="152"/>
              <w:jc w:val="center"/>
              <w:rPr>
                <w:rFonts w:ascii="仿宋_GB2312" w:hAnsi="宋体"/>
                <w:color w:val="auto"/>
              </w:rPr>
            </w:pP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2977" w:type="dxa"/>
            <w:gridSpan w:val="4"/>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2885"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1555" w:type="dxa"/>
            <w:vMerge w:val="continue"/>
            <w:tcBorders>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1417"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2977" w:type="dxa"/>
            <w:gridSpan w:val="4"/>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2885"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1555" w:type="dxa"/>
            <w:vMerge w:val="restart"/>
            <w:tcBorders>
              <w:top w:val="single" w:color="000000" w:sz="4" w:space="0"/>
              <w:left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主要经历及业绩、</w:t>
            </w:r>
            <w:r>
              <w:rPr>
                <w:rFonts w:hint="eastAsia" w:ascii="仿宋_GB2312" w:hAnsi="宋体"/>
              </w:rPr>
              <w:t>荣誉</w:t>
            </w:r>
          </w:p>
        </w:tc>
        <w:tc>
          <w:tcPr>
            <w:tcW w:w="2793"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工作起止时间</w:t>
            </w:r>
          </w:p>
        </w:tc>
        <w:tc>
          <w:tcPr>
            <w:tcW w:w="4486" w:type="dxa"/>
            <w:gridSpan w:val="5"/>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经历及主要业绩（获奖情况）</w:t>
            </w:r>
          </w:p>
        </w:tc>
      </w:tr>
      <w:tr>
        <w:tblPrEx>
          <w:tblCellMar>
            <w:top w:w="0" w:type="dxa"/>
            <w:left w:w="108" w:type="dxa"/>
            <w:bottom w:w="0" w:type="dxa"/>
            <w:right w:w="108" w:type="dxa"/>
          </w:tblCellMar>
        </w:tblPrEx>
        <w:trPr>
          <w:trHeight w:val="425" w:hRule="atLeast"/>
          <w:jc w:val="center"/>
        </w:trPr>
        <w:tc>
          <w:tcPr>
            <w:tcW w:w="1555" w:type="dxa"/>
            <w:vMerge w:val="continue"/>
            <w:tcBorders>
              <w:left w:val="single" w:color="000000" w:sz="4" w:space="0"/>
              <w:right w:val="single" w:color="000000" w:sz="4" w:space="0"/>
            </w:tcBorders>
            <w:vAlign w:val="center"/>
          </w:tcPr>
          <w:p>
            <w:pPr>
              <w:pStyle w:val="152"/>
              <w:jc w:val="center"/>
              <w:rPr>
                <w:rFonts w:ascii="仿宋_GB2312" w:hAnsi="宋体"/>
                <w:color w:val="auto"/>
              </w:rPr>
            </w:pPr>
          </w:p>
        </w:tc>
        <w:tc>
          <w:tcPr>
            <w:tcW w:w="2793"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4486" w:type="dxa"/>
            <w:gridSpan w:val="5"/>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1555" w:type="dxa"/>
            <w:vMerge w:val="continue"/>
            <w:tcBorders>
              <w:left w:val="single" w:color="000000" w:sz="4" w:space="0"/>
              <w:right w:val="single" w:color="000000" w:sz="4" w:space="0"/>
            </w:tcBorders>
            <w:vAlign w:val="center"/>
          </w:tcPr>
          <w:p>
            <w:pPr>
              <w:pStyle w:val="152"/>
              <w:jc w:val="center"/>
              <w:rPr>
                <w:rFonts w:ascii="仿宋_GB2312" w:hAnsi="宋体"/>
                <w:color w:val="auto"/>
              </w:rPr>
            </w:pPr>
          </w:p>
        </w:tc>
        <w:tc>
          <w:tcPr>
            <w:tcW w:w="2793"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4486" w:type="dxa"/>
            <w:gridSpan w:val="5"/>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1555" w:type="dxa"/>
            <w:vMerge w:val="continue"/>
            <w:tcBorders>
              <w:left w:val="single" w:color="000000" w:sz="4" w:space="0"/>
              <w:right w:val="single" w:color="000000" w:sz="4" w:space="0"/>
            </w:tcBorders>
            <w:vAlign w:val="center"/>
          </w:tcPr>
          <w:p>
            <w:pPr>
              <w:pStyle w:val="152"/>
              <w:jc w:val="center"/>
              <w:rPr>
                <w:rFonts w:ascii="仿宋_GB2312" w:hAnsi="宋体"/>
                <w:color w:val="auto"/>
              </w:rPr>
            </w:pPr>
          </w:p>
        </w:tc>
        <w:tc>
          <w:tcPr>
            <w:tcW w:w="2793"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4486" w:type="dxa"/>
            <w:gridSpan w:val="5"/>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425" w:hRule="atLeast"/>
          <w:jc w:val="center"/>
        </w:trPr>
        <w:tc>
          <w:tcPr>
            <w:tcW w:w="1555" w:type="dxa"/>
            <w:vMerge w:val="continue"/>
            <w:tcBorders>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2793" w:type="dxa"/>
            <w:gridSpan w:val="2"/>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c>
          <w:tcPr>
            <w:tcW w:w="4486" w:type="dxa"/>
            <w:gridSpan w:val="5"/>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r>
        <w:tblPrEx>
          <w:tblCellMar>
            <w:top w:w="0" w:type="dxa"/>
            <w:left w:w="108" w:type="dxa"/>
            <w:bottom w:w="0" w:type="dxa"/>
            <w:right w:w="108" w:type="dxa"/>
          </w:tblCellMar>
        </w:tblPrEx>
        <w:trPr>
          <w:trHeight w:val="2835" w:hRule="atLeast"/>
          <w:jc w:val="center"/>
        </w:trPr>
        <w:tc>
          <w:tcPr>
            <w:tcW w:w="1555"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r>
              <w:rPr>
                <w:rFonts w:hint="eastAsia" w:ascii="仿宋_GB2312" w:hAnsi="宋体"/>
                <w:color w:val="auto"/>
              </w:rPr>
              <w:t>说明</w:t>
            </w:r>
          </w:p>
        </w:tc>
        <w:tc>
          <w:tcPr>
            <w:tcW w:w="7279" w:type="dxa"/>
            <w:gridSpan w:val="7"/>
            <w:tcBorders>
              <w:top w:val="single" w:color="000000" w:sz="4" w:space="0"/>
              <w:left w:val="single" w:color="000000" w:sz="4" w:space="0"/>
              <w:bottom w:val="single" w:color="000000" w:sz="4" w:space="0"/>
              <w:right w:val="single" w:color="000000" w:sz="4" w:space="0"/>
            </w:tcBorders>
            <w:vAlign w:val="center"/>
          </w:tcPr>
          <w:p>
            <w:pPr>
              <w:pStyle w:val="152"/>
              <w:jc w:val="center"/>
              <w:rPr>
                <w:rFonts w:ascii="仿宋_GB2312" w:hAnsi="宋体"/>
                <w:color w:val="auto"/>
              </w:rPr>
            </w:pPr>
          </w:p>
        </w:tc>
      </w:tr>
    </w:tbl>
    <w:p>
      <w:pPr>
        <w:pStyle w:val="25"/>
        <w:snapToGrid w:val="0"/>
        <w:spacing w:line="480" w:lineRule="exact"/>
        <w:ind w:firstLine="560" w:firstLineChars="200"/>
        <w:rPr>
          <w:rFonts w:ascii="仿宋_GB2312" w:hAnsi="宋体" w:eastAsia="仿宋_GB2312" w:cs="宋体"/>
          <w:spacing w:val="20"/>
          <w:sz w:val="24"/>
          <w:szCs w:val="24"/>
        </w:rPr>
      </w:pPr>
      <w:bookmarkStart w:id="279" w:name="_Toc15092"/>
      <w:bookmarkStart w:id="280" w:name="_Toc25787_WPSOffice_Level2"/>
    </w:p>
    <w:p>
      <w:pPr>
        <w:pStyle w:val="25"/>
        <w:snapToGrid w:val="0"/>
        <w:spacing w:line="480" w:lineRule="exact"/>
        <w:ind w:firstLine="560" w:firstLineChars="200"/>
        <w:rPr>
          <w:rFonts w:ascii="仿宋_GB2312" w:hAnsi="宋体" w:eastAsia="仿宋_GB2312" w:cs="宋体"/>
          <w:spacing w:val="20"/>
          <w:sz w:val="24"/>
          <w:szCs w:val="24"/>
        </w:rPr>
      </w:pPr>
    </w:p>
    <w:p>
      <w:pPr>
        <w:pStyle w:val="25"/>
        <w:snapToGrid w:val="0"/>
        <w:spacing w:line="480" w:lineRule="exact"/>
        <w:ind w:firstLine="560" w:firstLineChars="200"/>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投 标 人（盖章）：</w:t>
      </w:r>
      <w:r>
        <w:rPr>
          <w:rFonts w:hint="eastAsia" w:ascii="仿宋_GB2312" w:hAnsi="宋体" w:eastAsia="仿宋_GB2312" w:cs="宋体"/>
          <w:spacing w:val="20"/>
          <w:sz w:val="24"/>
          <w:szCs w:val="24"/>
          <w:u w:val="single"/>
        </w:rPr>
        <w:t xml:space="preserve">                              </w:t>
      </w:r>
    </w:p>
    <w:p>
      <w:pPr>
        <w:pStyle w:val="25"/>
        <w:snapToGrid w:val="0"/>
        <w:spacing w:line="480" w:lineRule="exact"/>
        <w:ind w:firstLine="560" w:firstLineChars="200"/>
        <w:rPr>
          <w:rFonts w:ascii="仿宋_GB2312" w:hAnsi="宋体" w:eastAsia="仿宋_GB2312" w:cs="宋体"/>
          <w:spacing w:val="20"/>
          <w:sz w:val="24"/>
          <w:szCs w:val="24"/>
          <w:u w:val="single"/>
        </w:rPr>
      </w:pPr>
    </w:p>
    <w:p>
      <w:pPr>
        <w:pStyle w:val="25"/>
        <w:snapToGrid w:val="0"/>
        <w:spacing w:line="480" w:lineRule="exact"/>
        <w:ind w:firstLine="560" w:firstLineChars="200"/>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法定代表人或委托代理人（签字或盖章）：</w:t>
      </w:r>
      <w:r>
        <w:rPr>
          <w:rFonts w:hint="eastAsia" w:ascii="仿宋_GB2312" w:hAnsi="宋体" w:eastAsia="仿宋_GB2312" w:cs="宋体"/>
          <w:spacing w:val="20"/>
          <w:sz w:val="24"/>
          <w:szCs w:val="24"/>
          <w:u w:val="single"/>
        </w:rPr>
        <w:t xml:space="preserve">             </w:t>
      </w:r>
    </w:p>
    <w:p>
      <w:pPr>
        <w:pStyle w:val="25"/>
        <w:snapToGrid w:val="0"/>
        <w:spacing w:line="480" w:lineRule="exact"/>
        <w:ind w:firstLine="560" w:firstLineChars="200"/>
        <w:rPr>
          <w:rFonts w:ascii="仿宋_GB2312" w:hAnsi="宋体" w:eastAsia="仿宋_GB2312" w:cs="宋体"/>
          <w:spacing w:val="20"/>
          <w:sz w:val="24"/>
          <w:szCs w:val="24"/>
          <w:u w:val="single"/>
        </w:rPr>
      </w:pPr>
    </w:p>
    <w:p>
      <w:pPr>
        <w:pStyle w:val="25"/>
        <w:snapToGrid w:val="0"/>
        <w:spacing w:line="480" w:lineRule="exact"/>
        <w:ind w:firstLine="560" w:firstLineChars="200"/>
        <w:jc w:val="right"/>
        <w:rPr>
          <w:rFonts w:ascii="仿宋_GB2312" w:hAnsi="宋体" w:eastAsia="仿宋_GB2312" w:cs="宋体"/>
          <w:spacing w:val="20"/>
          <w:sz w:val="24"/>
          <w:szCs w:val="24"/>
        </w:rPr>
      </w:pPr>
      <w:r>
        <w:rPr>
          <w:rFonts w:hint="eastAsia" w:ascii="仿宋_GB2312" w:hAnsi="宋体" w:eastAsia="仿宋_GB2312" w:cs="宋体"/>
          <w:spacing w:val="20"/>
          <w:sz w:val="24"/>
          <w:szCs w:val="24"/>
        </w:rPr>
        <w:t xml:space="preserve">  </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年</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月</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日</w:t>
      </w:r>
    </w:p>
    <w:bookmarkEnd w:id="278"/>
    <w:p>
      <w:pPr>
        <w:pStyle w:val="6"/>
        <w:spacing w:line="480" w:lineRule="exact"/>
        <w:rPr>
          <w:rFonts w:cs="宋体"/>
        </w:rPr>
      </w:pPr>
      <w:bookmarkStart w:id="281" w:name="_Toc25110"/>
      <w:bookmarkStart w:id="282" w:name="_Toc42015202"/>
      <w:bookmarkStart w:id="283" w:name="_Toc42015417"/>
      <w:bookmarkStart w:id="284" w:name="_Toc41658934"/>
      <w:bookmarkStart w:id="285" w:name="_Toc18603123"/>
      <w:r>
        <w:rPr>
          <w:rFonts w:hint="eastAsia" w:cs="宋体"/>
        </w:rPr>
        <w:t>（六）拟任本项目组成人员一览表</w:t>
      </w:r>
      <w:bookmarkEnd w:id="279"/>
      <w:bookmarkEnd w:id="280"/>
      <w:bookmarkEnd w:id="281"/>
      <w:bookmarkEnd w:id="282"/>
      <w:bookmarkEnd w:id="283"/>
      <w:bookmarkEnd w:id="284"/>
      <w:bookmarkEnd w:id="285"/>
    </w:p>
    <w:tbl>
      <w:tblPr>
        <w:tblStyle w:val="44"/>
        <w:tblW w:w="8834" w:type="dxa"/>
        <w:tblInd w:w="0" w:type="dxa"/>
        <w:tblLayout w:type="fixed"/>
        <w:tblCellMar>
          <w:top w:w="0" w:type="dxa"/>
          <w:left w:w="108" w:type="dxa"/>
          <w:bottom w:w="0" w:type="dxa"/>
          <w:right w:w="108" w:type="dxa"/>
        </w:tblCellMar>
      </w:tblPr>
      <w:tblGrid>
        <w:gridCol w:w="704"/>
        <w:gridCol w:w="851"/>
        <w:gridCol w:w="1559"/>
        <w:gridCol w:w="1134"/>
        <w:gridCol w:w="1273"/>
        <w:gridCol w:w="1104"/>
        <w:gridCol w:w="1308"/>
        <w:gridCol w:w="901"/>
      </w:tblGrid>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r>
              <w:rPr>
                <w:rFonts w:hint="eastAsia" w:hAnsi="宋体"/>
                <w:color w:val="auto"/>
              </w:rPr>
              <w:t>序号</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r>
              <w:rPr>
                <w:rFonts w:hint="eastAsia" w:hAnsi="宋体"/>
                <w:color w:val="auto"/>
              </w:rPr>
              <w:t>姓名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r>
              <w:rPr>
                <w:rFonts w:hint="eastAsia" w:hAnsi="宋体"/>
                <w:color w:val="auto"/>
              </w:rPr>
              <w:t>身份证号</w:t>
            </w: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r>
              <w:rPr>
                <w:rFonts w:hint="eastAsia" w:hAnsi="宋体"/>
                <w:color w:val="auto"/>
              </w:rPr>
              <w:t>职称</w:t>
            </w: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r>
              <w:rPr>
                <w:rFonts w:hint="eastAsia" w:hAnsi="宋体"/>
                <w:color w:val="auto"/>
              </w:rPr>
              <w:t>执业资格证书号</w:t>
            </w: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r>
              <w:rPr>
                <w:rFonts w:hint="eastAsia" w:hAnsi="宋体"/>
                <w:color w:val="auto"/>
              </w:rPr>
              <w:t>专业</w:t>
            </w: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r>
              <w:rPr>
                <w:rFonts w:hint="eastAsia" w:hAnsi="宋体"/>
                <w:color w:val="auto"/>
              </w:rPr>
              <w:t>联系电话</w:t>
            </w: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r>
              <w:rPr>
                <w:rFonts w:hint="eastAsia" w:hAnsi="宋体"/>
                <w:color w:val="auto"/>
              </w:rPr>
              <w:t>备注</w:t>
            </w: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r>
        <w:tblPrEx>
          <w:tblCellMar>
            <w:top w:w="0" w:type="dxa"/>
            <w:left w:w="108" w:type="dxa"/>
            <w:bottom w:w="0" w:type="dxa"/>
            <w:right w:w="108" w:type="dxa"/>
          </w:tblCellMar>
        </w:tblPrEx>
        <w:trPr>
          <w:trHeight w:val="567" w:hRule="atLeast"/>
        </w:trPr>
        <w:tc>
          <w:tcPr>
            <w:tcW w:w="7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3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273"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104"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1308"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c>
          <w:tcPr>
            <w:tcW w:w="901" w:type="dxa"/>
            <w:tcBorders>
              <w:top w:val="single" w:color="000000" w:sz="4" w:space="0"/>
              <w:left w:val="single" w:color="000000" w:sz="4" w:space="0"/>
              <w:bottom w:val="single" w:color="000000" w:sz="4" w:space="0"/>
              <w:right w:val="single" w:color="000000" w:sz="4" w:space="0"/>
            </w:tcBorders>
            <w:vAlign w:val="center"/>
          </w:tcPr>
          <w:p>
            <w:pPr>
              <w:pStyle w:val="152"/>
              <w:jc w:val="center"/>
              <w:rPr>
                <w:rFonts w:hAnsi="宋体"/>
                <w:color w:val="auto"/>
              </w:rPr>
            </w:pPr>
          </w:p>
        </w:tc>
      </w:tr>
    </w:tbl>
    <w:p>
      <w:pPr>
        <w:pStyle w:val="25"/>
        <w:snapToGrid w:val="0"/>
        <w:spacing w:line="480" w:lineRule="exact"/>
        <w:rPr>
          <w:rFonts w:ascii="仿宋_GB2312" w:hAnsi="宋体" w:eastAsia="仿宋_GB2312" w:cs="宋体"/>
          <w:spacing w:val="20"/>
          <w:sz w:val="24"/>
          <w:szCs w:val="24"/>
        </w:rPr>
      </w:pPr>
      <w:bookmarkStart w:id="286" w:name="_Toc19215"/>
      <w:bookmarkStart w:id="287" w:name="_Toc14237_WPSOffice_Level2"/>
    </w:p>
    <w:p>
      <w:pPr>
        <w:pStyle w:val="25"/>
        <w:snapToGrid w:val="0"/>
        <w:spacing w:line="480" w:lineRule="exact"/>
        <w:rPr>
          <w:rFonts w:ascii="仿宋_GB2312" w:hAnsi="宋体" w:eastAsia="仿宋_GB2312" w:cs="宋体"/>
          <w:spacing w:val="20"/>
          <w:sz w:val="24"/>
          <w:szCs w:val="24"/>
        </w:rPr>
      </w:pPr>
    </w:p>
    <w:p>
      <w:pPr>
        <w:pStyle w:val="25"/>
        <w:snapToGrid w:val="0"/>
        <w:spacing w:line="480" w:lineRule="exact"/>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投 标 人（盖章）：</w:t>
      </w:r>
      <w:r>
        <w:rPr>
          <w:rFonts w:hint="eastAsia" w:ascii="仿宋_GB2312" w:hAnsi="宋体" w:eastAsia="仿宋_GB2312" w:cs="宋体"/>
          <w:spacing w:val="20"/>
          <w:sz w:val="24"/>
          <w:szCs w:val="24"/>
          <w:u w:val="single"/>
        </w:rPr>
        <w:t xml:space="preserve">                              </w:t>
      </w:r>
    </w:p>
    <w:p>
      <w:pPr>
        <w:pStyle w:val="25"/>
        <w:snapToGrid w:val="0"/>
        <w:spacing w:line="480" w:lineRule="exact"/>
        <w:rPr>
          <w:rFonts w:ascii="仿宋_GB2312" w:hAnsi="宋体" w:eastAsia="仿宋_GB2312" w:cs="宋体"/>
          <w:spacing w:val="20"/>
          <w:sz w:val="24"/>
          <w:szCs w:val="24"/>
          <w:u w:val="single"/>
        </w:rPr>
      </w:pPr>
    </w:p>
    <w:p>
      <w:pPr>
        <w:pStyle w:val="25"/>
        <w:snapToGrid w:val="0"/>
        <w:spacing w:line="480" w:lineRule="exact"/>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法定代表人或委托代理人（签字或盖章）：</w:t>
      </w:r>
      <w:r>
        <w:rPr>
          <w:rFonts w:hint="eastAsia" w:ascii="仿宋_GB2312" w:hAnsi="宋体" w:eastAsia="仿宋_GB2312" w:cs="宋体"/>
          <w:spacing w:val="20"/>
          <w:sz w:val="24"/>
          <w:szCs w:val="24"/>
          <w:u w:val="single"/>
        </w:rPr>
        <w:t xml:space="preserve">             </w:t>
      </w:r>
    </w:p>
    <w:p>
      <w:pPr>
        <w:pStyle w:val="25"/>
        <w:snapToGrid w:val="0"/>
        <w:spacing w:line="480" w:lineRule="exact"/>
        <w:rPr>
          <w:rFonts w:ascii="仿宋_GB2312" w:hAnsi="宋体" w:eastAsia="仿宋_GB2312" w:cs="宋体"/>
          <w:spacing w:val="20"/>
          <w:sz w:val="24"/>
          <w:szCs w:val="24"/>
          <w:u w:val="single"/>
        </w:rPr>
      </w:pPr>
    </w:p>
    <w:p>
      <w:pPr>
        <w:pStyle w:val="25"/>
        <w:snapToGrid w:val="0"/>
        <w:spacing w:line="480" w:lineRule="exact"/>
        <w:jc w:val="right"/>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 xml:space="preserve">  </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年</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月</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日</w:t>
      </w:r>
    </w:p>
    <w:p>
      <w:pPr>
        <w:pStyle w:val="220"/>
      </w:pPr>
    </w:p>
    <w:p>
      <w:pPr>
        <w:rPr>
          <w:rFonts w:ascii="宋体" w:hAnsi="宋体" w:cs="宋体"/>
        </w:rPr>
      </w:pPr>
    </w:p>
    <w:p>
      <w:pPr>
        <w:pStyle w:val="6"/>
        <w:spacing w:line="480" w:lineRule="exact"/>
        <w:rPr>
          <w:rFonts w:cs="宋体"/>
        </w:rPr>
      </w:pPr>
      <w:r>
        <w:rPr>
          <w:rFonts w:hint="eastAsia" w:cs="宋体"/>
        </w:rPr>
        <w:t>（七）</w:t>
      </w:r>
      <w:bookmarkStart w:id="288" w:name="_Toc18603124"/>
      <w:bookmarkStart w:id="289" w:name="_Toc41658935"/>
      <w:bookmarkStart w:id="290" w:name="_Toc42015418"/>
      <w:bookmarkStart w:id="291" w:name="_Toc24914"/>
      <w:bookmarkStart w:id="292" w:name="_Toc42015203"/>
      <w:r>
        <w:rPr>
          <w:rFonts w:hint="eastAsia" w:cs="宋体"/>
        </w:rPr>
        <w:t>近几年已完成</w:t>
      </w:r>
      <w:bookmarkEnd w:id="286"/>
      <w:bookmarkEnd w:id="287"/>
      <w:bookmarkEnd w:id="288"/>
      <w:bookmarkEnd w:id="289"/>
      <w:r>
        <w:rPr>
          <w:rFonts w:hint="eastAsia" w:cs="宋体"/>
        </w:rPr>
        <w:t>类似项目业绩</w:t>
      </w:r>
      <w:bookmarkEnd w:id="290"/>
      <w:bookmarkEnd w:id="291"/>
      <w:bookmarkEnd w:id="292"/>
    </w:p>
    <w:tbl>
      <w:tblPr>
        <w:tblStyle w:val="44"/>
        <w:tblW w:w="88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6"/>
        <w:gridCol w:w="1767"/>
        <w:gridCol w:w="1767"/>
        <w:gridCol w:w="1767"/>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vAlign w:val="center"/>
          </w:tcPr>
          <w:p>
            <w:pPr>
              <w:pStyle w:val="169"/>
              <w:jc w:val="center"/>
              <w:rPr>
                <w:rFonts w:ascii="宋体" w:hAnsi="宋体" w:cs="宋体"/>
                <w:sz w:val="24"/>
                <w:szCs w:val="24"/>
              </w:rPr>
            </w:pPr>
            <w:r>
              <w:rPr>
                <w:rFonts w:hint="eastAsia" w:ascii="宋体" w:hAnsi="宋体" w:cs="宋体"/>
                <w:sz w:val="24"/>
                <w:szCs w:val="24"/>
              </w:rPr>
              <w:t>使用单位</w:t>
            </w:r>
          </w:p>
        </w:tc>
        <w:tc>
          <w:tcPr>
            <w:tcW w:w="1767" w:type="dxa"/>
            <w:vAlign w:val="center"/>
          </w:tcPr>
          <w:p>
            <w:pPr>
              <w:pStyle w:val="169"/>
              <w:jc w:val="center"/>
              <w:rPr>
                <w:rFonts w:ascii="宋体" w:hAnsi="宋体" w:cs="宋体"/>
                <w:sz w:val="24"/>
                <w:szCs w:val="24"/>
              </w:rPr>
            </w:pPr>
            <w:r>
              <w:rPr>
                <w:rFonts w:hint="eastAsia" w:ascii="宋体" w:hAnsi="宋体" w:cs="宋体"/>
                <w:sz w:val="24"/>
                <w:szCs w:val="24"/>
              </w:rPr>
              <w:t>项目名称</w:t>
            </w:r>
          </w:p>
          <w:p>
            <w:pPr>
              <w:pStyle w:val="169"/>
              <w:jc w:val="center"/>
              <w:rPr>
                <w:rFonts w:ascii="宋体" w:hAnsi="宋体" w:cs="宋体"/>
                <w:sz w:val="24"/>
                <w:szCs w:val="24"/>
              </w:rPr>
            </w:pPr>
            <w:r>
              <w:rPr>
                <w:rFonts w:hint="eastAsia" w:ascii="宋体" w:hAnsi="宋体" w:cs="宋体"/>
                <w:sz w:val="24"/>
                <w:szCs w:val="24"/>
              </w:rPr>
              <w:t>及数量</w:t>
            </w:r>
          </w:p>
        </w:tc>
        <w:tc>
          <w:tcPr>
            <w:tcW w:w="1767" w:type="dxa"/>
            <w:vAlign w:val="center"/>
          </w:tcPr>
          <w:p>
            <w:pPr>
              <w:pStyle w:val="169"/>
              <w:jc w:val="center"/>
              <w:rPr>
                <w:rFonts w:ascii="宋体" w:hAnsi="宋体" w:cs="宋体"/>
                <w:sz w:val="24"/>
                <w:szCs w:val="24"/>
              </w:rPr>
            </w:pPr>
            <w:r>
              <w:rPr>
                <w:rFonts w:hint="eastAsia" w:ascii="宋体" w:hAnsi="宋体" w:cs="宋体"/>
                <w:sz w:val="24"/>
                <w:szCs w:val="24"/>
              </w:rPr>
              <w:t>承保时间</w:t>
            </w:r>
          </w:p>
        </w:tc>
        <w:tc>
          <w:tcPr>
            <w:tcW w:w="1767" w:type="dxa"/>
            <w:vAlign w:val="center"/>
          </w:tcPr>
          <w:p>
            <w:pPr>
              <w:pStyle w:val="169"/>
              <w:jc w:val="center"/>
              <w:rPr>
                <w:rFonts w:ascii="宋体" w:hAnsi="宋体" w:cs="宋体"/>
                <w:sz w:val="24"/>
                <w:szCs w:val="24"/>
              </w:rPr>
            </w:pPr>
            <w:r>
              <w:rPr>
                <w:rFonts w:hint="eastAsia" w:ascii="宋体" w:hAnsi="宋体" w:cs="宋体"/>
                <w:sz w:val="24"/>
                <w:szCs w:val="24"/>
              </w:rPr>
              <w:t>合同金额</w:t>
            </w:r>
          </w:p>
          <w:p>
            <w:pPr>
              <w:pStyle w:val="169"/>
              <w:jc w:val="center"/>
              <w:rPr>
                <w:rFonts w:ascii="宋体" w:hAnsi="宋体" w:cs="宋体"/>
                <w:sz w:val="24"/>
                <w:szCs w:val="24"/>
              </w:rPr>
            </w:pPr>
            <w:r>
              <w:rPr>
                <w:rFonts w:hint="eastAsia" w:ascii="宋体" w:hAnsi="宋体" w:cs="宋体"/>
                <w:sz w:val="24"/>
                <w:szCs w:val="24"/>
              </w:rPr>
              <w:t>（万元）</w:t>
            </w:r>
          </w:p>
        </w:tc>
        <w:tc>
          <w:tcPr>
            <w:tcW w:w="1767" w:type="dxa"/>
            <w:vAlign w:val="center"/>
          </w:tcPr>
          <w:p>
            <w:pPr>
              <w:pStyle w:val="169"/>
              <w:jc w:val="center"/>
              <w:rPr>
                <w:rFonts w:ascii="宋体" w:hAnsi="宋体" w:cs="宋体"/>
                <w:sz w:val="24"/>
                <w:szCs w:val="24"/>
              </w:rPr>
            </w:pPr>
            <w:r>
              <w:rPr>
                <w:rFonts w:hint="eastAsia" w:ascii="宋体" w:hAnsi="宋体" w:cs="宋体"/>
                <w:sz w:val="24"/>
                <w:szCs w:val="24"/>
              </w:rPr>
              <w:t>证明人及</w:t>
            </w:r>
          </w:p>
          <w:p>
            <w:pPr>
              <w:pStyle w:val="169"/>
              <w:jc w:val="center"/>
              <w:rPr>
                <w:rFonts w:ascii="宋体" w:hAnsi="宋体" w:cs="宋体"/>
                <w:sz w:val="24"/>
                <w:szCs w:val="24"/>
              </w:rPr>
            </w:pPr>
            <w:r>
              <w:rPr>
                <w:rFonts w:hint="eastAsia" w:ascii="宋体" w:hAnsi="宋体" w:cs="宋体"/>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66"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c>
          <w:tcPr>
            <w:tcW w:w="1767" w:type="dxa"/>
            <w:vAlign w:val="center"/>
          </w:tcPr>
          <w:p>
            <w:pPr>
              <w:pStyle w:val="169"/>
              <w:jc w:val="center"/>
              <w:rPr>
                <w:rFonts w:ascii="宋体" w:hAnsi="宋体" w:cs="宋体"/>
                <w:sz w:val="24"/>
                <w:szCs w:val="24"/>
              </w:rPr>
            </w:pPr>
          </w:p>
        </w:tc>
      </w:tr>
    </w:tbl>
    <w:p>
      <w:pPr>
        <w:rPr>
          <w:rFonts w:ascii="宋体" w:hAnsi="宋体" w:cs="宋体"/>
        </w:rPr>
      </w:pPr>
    </w:p>
    <w:p>
      <w:pPr>
        <w:pStyle w:val="152"/>
        <w:spacing w:line="480" w:lineRule="exact"/>
        <w:ind w:firstLine="480" w:firstLineChars="200"/>
        <w:rPr>
          <w:rFonts w:ascii="仿宋_GB2312" w:hAnsi="宋体"/>
          <w:color w:val="auto"/>
        </w:rPr>
      </w:pPr>
    </w:p>
    <w:p>
      <w:pPr>
        <w:pStyle w:val="193"/>
        <w:spacing w:line="480" w:lineRule="exact"/>
        <w:ind w:firstLine="480" w:firstLineChars="200"/>
        <w:rPr>
          <w:rFonts w:hAnsi="宋体" w:cs="宋体"/>
        </w:rPr>
      </w:pPr>
      <w:r>
        <w:rPr>
          <w:rFonts w:hint="eastAsia" w:hAnsi="宋体" w:cs="宋体"/>
        </w:rPr>
        <w:t>说明：相关业绩均需提供项目合同、竣工验收报告等证明材料复印件，加盖单位公章。</w:t>
      </w:r>
    </w:p>
    <w:p>
      <w:pPr>
        <w:pStyle w:val="193"/>
        <w:spacing w:line="480" w:lineRule="exact"/>
        <w:ind w:firstLine="480" w:firstLineChars="200"/>
        <w:rPr>
          <w:rFonts w:hAnsi="宋体" w:cs="宋体"/>
        </w:rPr>
      </w:pPr>
    </w:p>
    <w:p>
      <w:pPr>
        <w:pStyle w:val="152"/>
        <w:spacing w:line="480" w:lineRule="exact"/>
        <w:ind w:firstLine="480" w:firstLineChars="200"/>
        <w:rPr>
          <w:rFonts w:ascii="仿宋_GB2312"/>
        </w:rPr>
      </w:pPr>
    </w:p>
    <w:p>
      <w:pPr>
        <w:pStyle w:val="25"/>
        <w:snapToGrid w:val="0"/>
        <w:spacing w:line="480" w:lineRule="exact"/>
        <w:ind w:firstLine="480" w:firstLineChars="200"/>
        <w:rPr>
          <w:rFonts w:ascii="仿宋_GB2312" w:hAnsi="宋体" w:eastAsia="仿宋_GB2312" w:cs="宋体"/>
          <w:kern w:val="0"/>
          <w:sz w:val="24"/>
          <w:szCs w:val="24"/>
          <w:u w:val="single"/>
        </w:rPr>
      </w:pPr>
      <w:r>
        <w:rPr>
          <w:rFonts w:hint="eastAsia" w:ascii="仿宋_GB2312" w:hAnsi="宋体" w:eastAsia="仿宋_GB2312" w:cs="宋体"/>
          <w:kern w:val="0"/>
          <w:sz w:val="24"/>
          <w:szCs w:val="24"/>
        </w:rPr>
        <w:t>投 标 人（盖章）：</w:t>
      </w:r>
      <w:r>
        <w:rPr>
          <w:rFonts w:hint="eastAsia" w:ascii="仿宋_GB2312" w:hAnsi="宋体" w:eastAsia="仿宋_GB2312" w:cs="宋体"/>
          <w:kern w:val="0"/>
          <w:sz w:val="24"/>
          <w:szCs w:val="24"/>
          <w:u w:val="single"/>
        </w:rPr>
        <w:t xml:space="preserve">                              </w:t>
      </w:r>
    </w:p>
    <w:p>
      <w:pPr>
        <w:pStyle w:val="25"/>
        <w:snapToGrid w:val="0"/>
        <w:spacing w:line="480" w:lineRule="exact"/>
        <w:ind w:firstLine="480" w:firstLineChars="200"/>
        <w:rPr>
          <w:rFonts w:ascii="仿宋_GB2312" w:hAnsi="宋体" w:eastAsia="仿宋_GB2312" w:cs="宋体"/>
          <w:kern w:val="0"/>
          <w:sz w:val="24"/>
          <w:szCs w:val="24"/>
          <w:u w:val="single"/>
        </w:rPr>
      </w:pPr>
    </w:p>
    <w:p>
      <w:pPr>
        <w:pStyle w:val="25"/>
        <w:snapToGrid w:val="0"/>
        <w:spacing w:line="480" w:lineRule="exact"/>
        <w:ind w:firstLine="480" w:firstLineChars="200"/>
        <w:rPr>
          <w:rFonts w:ascii="仿宋_GB2312" w:hAnsi="宋体" w:eastAsia="仿宋_GB2312" w:cs="宋体"/>
          <w:kern w:val="0"/>
          <w:sz w:val="24"/>
          <w:szCs w:val="24"/>
          <w:u w:val="single"/>
        </w:rPr>
      </w:pPr>
      <w:r>
        <w:rPr>
          <w:rFonts w:hint="eastAsia" w:ascii="仿宋_GB2312" w:hAnsi="宋体" w:eastAsia="仿宋_GB2312" w:cs="宋体"/>
          <w:kern w:val="0"/>
          <w:sz w:val="24"/>
          <w:szCs w:val="24"/>
        </w:rPr>
        <w:t>法定代表人或委托代理人（签字或盖章）：</w:t>
      </w:r>
      <w:r>
        <w:rPr>
          <w:rFonts w:hint="eastAsia" w:ascii="仿宋_GB2312" w:hAnsi="宋体" w:eastAsia="仿宋_GB2312" w:cs="宋体"/>
          <w:kern w:val="0"/>
          <w:sz w:val="24"/>
          <w:szCs w:val="24"/>
          <w:u w:val="single"/>
        </w:rPr>
        <w:t xml:space="preserve">             </w:t>
      </w:r>
    </w:p>
    <w:p>
      <w:pPr>
        <w:pStyle w:val="25"/>
        <w:snapToGrid w:val="0"/>
        <w:spacing w:line="480" w:lineRule="exact"/>
        <w:ind w:firstLine="480" w:firstLineChars="200"/>
        <w:rPr>
          <w:rFonts w:ascii="仿宋_GB2312" w:hAnsi="宋体" w:eastAsia="仿宋_GB2312" w:cs="宋体"/>
          <w:kern w:val="0"/>
          <w:sz w:val="24"/>
          <w:szCs w:val="24"/>
          <w:u w:val="single"/>
        </w:rPr>
      </w:pPr>
    </w:p>
    <w:p>
      <w:pPr>
        <w:pStyle w:val="25"/>
        <w:snapToGrid w:val="0"/>
        <w:spacing w:line="480" w:lineRule="exact"/>
        <w:ind w:firstLine="480" w:firstLineChars="200"/>
        <w:jc w:val="right"/>
        <w:rPr>
          <w:rFonts w:ascii="仿宋_GB2312" w:hAnsi="宋体" w:eastAsia="仿宋_GB2312" w:cs="宋体"/>
          <w:kern w:val="0"/>
          <w:sz w:val="24"/>
          <w:szCs w:val="24"/>
          <w:u w:val="single"/>
        </w:rPr>
      </w:pPr>
      <w:r>
        <w:rPr>
          <w:rFonts w:hint="eastAsia" w:ascii="仿宋_GB2312" w:hAnsi="宋体" w:eastAsia="仿宋_GB2312" w:cs="宋体"/>
          <w:kern w:val="0"/>
          <w:sz w:val="24"/>
          <w:szCs w:val="24"/>
          <w:u w:val="single"/>
        </w:rPr>
        <w:t xml:space="preserve"> </w:t>
      </w:r>
      <w:r>
        <w:rPr>
          <w:rFonts w:ascii="仿宋_GB2312" w:hAnsi="宋体" w:eastAsia="仿宋_GB2312" w:cs="宋体"/>
          <w:kern w:val="0"/>
          <w:sz w:val="24"/>
          <w:szCs w:val="24"/>
          <w:u w:val="single"/>
        </w:rPr>
        <w:t xml:space="preserve">     </w:t>
      </w:r>
      <w:r>
        <w:rPr>
          <w:rFonts w:hint="eastAsia" w:ascii="仿宋_GB2312" w:hAnsi="宋体" w:eastAsia="仿宋_GB2312" w:cs="宋体"/>
          <w:kern w:val="0"/>
          <w:sz w:val="24"/>
          <w:szCs w:val="24"/>
        </w:rPr>
        <w:t>年</w:t>
      </w:r>
      <w:r>
        <w:rPr>
          <w:rFonts w:ascii="仿宋_GB2312" w:hAnsi="宋体" w:eastAsia="仿宋_GB2312" w:cs="宋体"/>
          <w:kern w:val="0"/>
          <w:sz w:val="24"/>
          <w:szCs w:val="24"/>
          <w:u w:val="single"/>
        </w:rPr>
        <w:t xml:space="preserve">    </w:t>
      </w:r>
      <w:r>
        <w:rPr>
          <w:rFonts w:hint="eastAsia" w:ascii="仿宋_GB2312" w:hAnsi="宋体" w:eastAsia="仿宋_GB2312" w:cs="宋体"/>
          <w:kern w:val="0"/>
          <w:sz w:val="24"/>
          <w:szCs w:val="24"/>
        </w:rPr>
        <w:t>月</w:t>
      </w:r>
      <w:r>
        <w:rPr>
          <w:rFonts w:hint="eastAsia" w:ascii="仿宋_GB2312" w:hAnsi="宋体" w:eastAsia="仿宋_GB2312" w:cs="宋体"/>
          <w:kern w:val="0"/>
          <w:sz w:val="24"/>
          <w:szCs w:val="24"/>
          <w:u w:val="single"/>
        </w:rPr>
        <w:t xml:space="preserve">  　</w:t>
      </w:r>
      <w:r>
        <w:rPr>
          <w:rFonts w:hint="eastAsia" w:ascii="仿宋_GB2312" w:hAnsi="宋体" w:eastAsia="仿宋_GB2312" w:cs="宋体"/>
          <w:kern w:val="0"/>
          <w:sz w:val="24"/>
          <w:szCs w:val="24"/>
        </w:rPr>
        <w:t>日</w:t>
      </w:r>
    </w:p>
    <w:p>
      <w:pPr>
        <w:pStyle w:val="223"/>
        <w:ind w:left="5250" w:firstLine="320"/>
        <w:rPr>
          <w:rFonts w:ascii="宋体" w:hAnsi="宋体" w:eastAsia="宋体" w:cs="宋体"/>
        </w:rPr>
      </w:pPr>
    </w:p>
    <w:p>
      <w:pPr>
        <w:pStyle w:val="223"/>
        <w:ind w:left="5250" w:firstLine="320"/>
        <w:rPr>
          <w:rFonts w:ascii="宋体" w:hAnsi="宋体" w:eastAsia="宋体" w:cs="宋体"/>
          <w:sz w:val="32"/>
          <w:szCs w:val="32"/>
        </w:rPr>
      </w:pPr>
    </w:p>
    <w:p>
      <w:pPr>
        <w:pStyle w:val="152"/>
        <w:rPr>
          <w:rFonts w:hAnsi="宋体"/>
          <w:color w:val="auto"/>
          <w:sz w:val="32"/>
          <w:szCs w:val="32"/>
        </w:rPr>
      </w:pPr>
    </w:p>
    <w:p>
      <w:pPr>
        <w:pStyle w:val="152"/>
        <w:rPr>
          <w:rFonts w:hAnsi="宋体"/>
          <w:color w:val="auto"/>
          <w:sz w:val="32"/>
          <w:szCs w:val="32"/>
        </w:rPr>
      </w:pPr>
    </w:p>
    <w:p>
      <w:pPr>
        <w:pStyle w:val="6"/>
        <w:spacing w:line="480" w:lineRule="exact"/>
        <w:rPr>
          <w:rFonts w:cs="宋体"/>
        </w:rPr>
      </w:pPr>
      <w:bookmarkStart w:id="293" w:name="_Toc7751"/>
      <w:bookmarkStart w:id="294" w:name="_Toc4276_WPSOffice_Level2"/>
      <w:bookmarkStart w:id="295" w:name="_Toc18603125"/>
      <w:bookmarkStart w:id="296" w:name="_Toc41658936"/>
      <w:bookmarkStart w:id="297" w:name="_Toc42015204"/>
      <w:bookmarkStart w:id="298" w:name="_Toc42015419"/>
      <w:bookmarkStart w:id="299" w:name="_Toc16644"/>
      <w:r>
        <w:rPr>
          <w:rFonts w:hint="eastAsia" w:cs="宋体"/>
        </w:rPr>
        <w:t>（八）</w:t>
      </w:r>
      <w:bookmarkEnd w:id="293"/>
      <w:bookmarkEnd w:id="294"/>
      <w:bookmarkEnd w:id="295"/>
      <w:bookmarkStart w:id="300" w:name="_Toc29561"/>
      <w:bookmarkStart w:id="301" w:name="_Toc4773_WPSOffice_Level2"/>
      <w:bookmarkStart w:id="302" w:name="_Toc18603126"/>
      <w:r>
        <w:rPr>
          <w:rFonts w:hint="eastAsia" w:cs="宋体"/>
        </w:rPr>
        <w:t>资格审查资料</w:t>
      </w:r>
      <w:bookmarkEnd w:id="296"/>
      <w:bookmarkEnd w:id="297"/>
      <w:bookmarkEnd w:id="298"/>
      <w:bookmarkEnd w:id="299"/>
      <w:bookmarkEnd w:id="300"/>
      <w:bookmarkEnd w:id="301"/>
      <w:bookmarkEnd w:id="302"/>
    </w:p>
    <w:p>
      <w:pPr>
        <w:spacing w:line="480" w:lineRule="exact"/>
        <w:ind w:firstLine="480" w:firstLineChars="200"/>
        <w:rPr>
          <w:rFonts w:ascii="宋体" w:hAnsi="宋体" w:cs="宋体"/>
          <w:sz w:val="24"/>
          <w:szCs w:val="24"/>
          <w:lang w:val="zh-CN"/>
        </w:rPr>
      </w:pPr>
    </w:p>
    <w:p>
      <w:pPr>
        <w:spacing w:line="480" w:lineRule="exact"/>
        <w:ind w:firstLine="480" w:firstLineChars="200"/>
        <w:rPr>
          <w:rFonts w:ascii="宋体" w:hAnsi="宋体" w:cs="宋体"/>
          <w:sz w:val="24"/>
          <w:szCs w:val="24"/>
          <w:lang w:val="zh-CN"/>
        </w:rPr>
      </w:pPr>
      <w:r>
        <w:rPr>
          <w:rFonts w:hint="eastAsia" w:ascii="宋体" w:hAnsi="宋体" w:cs="宋体"/>
          <w:sz w:val="24"/>
          <w:szCs w:val="24"/>
          <w:lang w:val="zh-CN"/>
        </w:rPr>
        <w:t>投标人对照资格审查条件提交相关资料。</w:t>
      </w:r>
    </w:p>
    <w:p>
      <w:pPr>
        <w:pStyle w:val="6"/>
        <w:spacing w:line="480" w:lineRule="exact"/>
        <w:rPr>
          <w:rFonts w:cs="宋体"/>
          <w:bCs w:val="0"/>
          <w:sz w:val="24"/>
          <w:szCs w:val="24"/>
        </w:rPr>
      </w:pPr>
      <w:r>
        <w:rPr>
          <w:rFonts w:cs="宋体"/>
          <w:b w:val="0"/>
          <w:kern w:val="0"/>
          <w:sz w:val="24"/>
        </w:rPr>
        <w:br w:type="page"/>
      </w:r>
      <w:bookmarkStart w:id="303" w:name="_Toc502848426"/>
      <w:bookmarkStart w:id="304" w:name="_Toc29116_WPSOffice_Level2"/>
      <w:bookmarkStart w:id="305" w:name="_Toc41658937"/>
      <w:bookmarkStart w:id="306" w:name="_Toc42015205"/>
      <w:bookmarkStart w:id="307" w:name="_Toc42015420"/>
      <w:bookmarkStart w:id="308" w:name="_Toc16682"/>
      <w:bookmarkStart w:id="309" w:name="_Toc224955783"/>
      <w:bookmarkStart w:id="310" w:name="_Toc224958888"/>
      <w:bookmarkStart w:id="311" w:name="_Toc224610186"/>
      <w:bookmarkStart w:id="312" w:name="_Toc224609915"/>
      <w:bookmarkStart w:id="313" w:name="_Toc299971966"/>
      <w:bookmarkStart w:id="314" w:name="_Toc17216939"/>
      <w:r>
        <w:rPr>
          <w:rFonts w:hint="eastAsia" w:cs="宋体"/>
        </w:rPr>
        <w:t>（九）承诺函</w:t>
      </w:r>
      <w:bookmarkEnd w:id="303"/>
      <w:bookmarkEnd w:id="304"/>
      <w:bookmarkEnd w:id="305"/>
      <w:bookmarkEnd w:id="306"/>
      <w:bookmarkEnd w:id="307"/>
      <w:bookmarkEnd w:id="308"/>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u w:val="single"/>
        </w:rPr>
      </w:pPr>
      <w:r>
        <w:rPr>
          <w:rFonts w:hint="eastAsia" w:ascii="仿宋_GB2312" w:hAnsi="宋体" w:eastAsia="仿宋_GB2312" w:cs="宋体"/>
          <w:sz w:val="24"/>
        </w:rPr>
        <w:t>致：</w:t>
      </w:r>
      <w:r>
        <w:rPr>
          <w:rFonts w:hint="eastAsia" w:ascii="仿宋_GB2312" w:hAnsi="宋体" w:eastAsia="仿宋_GB2312" w:cs="宋体"/>
          <w:sz w:val="24"/>
          <w:szCs w:val="24"/>
          <w:u w:val="single"/>
        </w:rPr>
        <w:t xml:space="preserve"> </w:t>
      </w:r>
      <w:r>
        <w:rPr>
          <w:rFonts w:hint="eastAsia" w:ascii="仿宋_GB2312" w:hAnsi="宋体" w:eastAsia="仿宋_GB2312" w:cs="宋体"/>
          <w:sz w:val="24"/>
          <w:u w:val="single"/>
        </w:rPr>
        <w:t xml:space="preserve">  </w:t>
      </w:r>
      <w:r>
        <w:rPr>
          <w:rFonts w:hint="eastAsia" w:ascii="仿宋_GB2312" w:hAnsi="宋体" w:eastAsia="仿宋_GB2312" w:cs="宋体"/>
          <w:sz w:val="24"/>
          <w:szCs w:val="24"/>
          <w:u w:val="single"/>
        </w:rPr>
        <w:t xml:space="preserve"> </w:t>
      </w:r>
      <w:r>
        <w:rPr>
          <w:rFonts w:hint="eastAsia" w:ascii="仿宋_GB2312" w:hAnsi="宋体" w:eastAsia="仿宋_GB2312" w:cs="宋体"/>
          <w:sz w:val="24"/>
          <w:u w:val="single"/>
        </w:rPr>
        <w:t xml:space="preserve"> （招标人）</w:t>
      </w:r>
      <w:r>
        <w:rPr>
          <w:rFonts w:hint="eastAsia" w:ascii="仿宋_GB2312" w:hAnsi="宋体" w:eastAsia="仿宋_GB2312" w:cs="宋体"/>
          <w:sz w:val="24"/>
          <w:szCs w:val="24"/>
          <w:u w:val="single"/>
        </w:rPr>
        <w:t xml:space="preserve"> </w:t>
      </w:r>
      <w:r>
        <w:rPr>
          <w:rFonts w:hint="eastAsia" w:ascii="仿宋_GB2312" w:hAnsi="宋体" w:eastAsia="仿宋_GB2312" w:cs="宋体"/>
          <w:sz w:val="24"/>
          <w:u w:val="single"/>
        </w:rPr>
        <w:t xml:space="preserve">     </w:t>
      </w:r>
    </w:p>
    <w:p>
      <w:pPr>
        <w:pStyle w:val="25"/>
        <w:snapToGrid w:val="0"/>
        <w:spacing w:line="480" w:lineRule="exact"/>
        <w:ind w:firstLine="480" w:firstLineChars="200"/>
        <w:jc w:val="left"/>
        <w:rPr>
          <w:rFonts w:ascii="仿宋_GB2312" w:hAnsi="宋体" w:eastAsia="仿宋_GB2312" w:cs="宋体"/>
          <w:sz w:val="24"/>
        </w:rPr>
      </w:pPr>
      <w:r>
        <w:rPr>
          <w:rFonts w:ascii="仿宋_GB2312" w:hAnsi="宋体" w:eastAsia="仿宋_GB2312" w:cs="宋体"/>
          <w:sz w:val="24"/>
        </w:rPr>
        <w:t>1.</w:t>
      </w:r>
      <w:r>
        <w:rPr>
          <w:rFonts w:hint="eastAsia" w:ascii="仿宋_GB2312" w:hAnsi="宋体" w:eastAsia="仿宋_GB2312" w:cs="宋体"/>
          <w:sz w:val="24"/>
        </w:rPr>
        <w:t>我公司具有独立承担民事责任的能力。</w:t>
      </w:r>
    </w:p>
    <w:p>
      <w:pPr>
        <w:pStyle w:val="25"/>
        <w:snapToGrid w:val="0"/>
        <w:spacing w:line="480" w:lineRule="exact"/>
        <w:ind w:firstLine="480" w:firstLineChars="200"/>
        <w:jc w:val="left"/>
        <w:rPr>
          <w:rFonts w:ascii="仿宋_GB2312" w:hAnsi="宋体" w:eastAsia="仿宋_GB2312" w:cs="宋体"/>
          <w:sz w:val="24"/>
        </w:rPr>
      </w:pPr>
      <w:r>
        <w:rPr>
          <w:rFonts w:ascii="仿宋_GB2312" w:hAnsi="宋体" w:eastAsia="仿宋_GB2312" w:cs="宋体"/>
          <w:sz w:val="24"/>
        </w:rPr>
        <w:t>2.</w:t>
      </w:r>
      <w:r>
        <w:rPr>
          <w:rFonts w:hint="eastAsia" w:ascii="仿宋_GB2312" w:hAnsi="宋体" w:eastAsia="仿宋_GB2312" w:cs="宋体"/>
          <w:sz w:val="24"/>
        </w:rPr>
        <w:t>我公司具有良好的商业信誉和健全的财务会计制度。</w:t>
      </w:r>
    </w:p>
    <w:p>
      <w:pPr>
        <w:pStyle w:val="25"/>
        <w:snapToGrid w:val="0"/>
        <w:spacing w:line="480" w:lineRule="exact"/>
        <w:ind w:firstLine="480" w:firstLineChars="200"/>
        <w:jc w:val="left"/>
        <w:rPr>
          <w:rFonts w:ascii="仿宋_GB2312" w:hAnsi="宋体" w:eastAsia="仿宋_GB2312" w:cs="宋体"/>
          <w:sz w:val="24"/>
        </w:rPr>
      </w:pPr>
      <w:r>
        <w:rPr>
          <w:rFonts w:ascii="仿宋_GB2312" w:hAnsi="宋体" w:eastAsia="仿宋_GB2312" w:cs="宋体"/>
          <w:sz w:val="24"/>
        </w:rPr>
        <w:t>3.</w:t>
      </w:r>
      <w:r>
        <w:rPr>
          <w:rFonts w:hint="eastAsia" w:ascii="仿宋_GB2312" w:hAnsi="宋体" w:eastAsia="仿宋_GB2312" w:cs="宋体"/>
          <w:sz w:val="24"/>
        </w:rPr>
        <w:t>我公司具有履行合同所必需的设备、人员和专业技术能力。</w:t>
      </w:r>
    </w:p>
    <w:p>
      <w:pPr>
        <w:pStyle w:val="25"/>
        <w:snapToGrid w:val="0"/>
        <w:spacing w:line="480" w:lineRule="exact"/>
        <w:ind w:firstLine="480" w:firstLineChars="200"/>
        <w:jc w:val="left"/>
        <w:rPr>
          <w:rFonts w:ascii="仿宋_GB2312" w:hAnsi="宋体" w:eastAsia="仿宋_GB2312" w:cs="宋体"/>
          <w:sz w:val="24"/>
        </w:rPr>
      </w:pPr>
      <w:r>
        <w:rPr>
          <w:rFonts w:ascii="仿宋_GB2312" w:hAnsi="宋体" w:eastAsia="仿宋_GB2312" w:cs="宋体"/>
          <w:sz w:val="24"/>
        </w:rPr>
        <w:t>4.</w:t>
      </w:r>
      <w:r>
        <w:rPr>
          <w:rFonts w:hint="eastAsia" w:ascii="仿宋_GB2312" w:hAnsi="宋体" w:eastAsia="仿宋_GB2312" w:cs="宋体"/>
          <w:sz w:val="24"/>
        </w:rPr>
        <w:t>我公司自2017年以来在经营活动中没有重大违法记录，或被行政监管部门处理期限已满。</w:t>
      </w:r>
    </w:p>
    <w:p>
      <w:pPr>
        <w:pStyle w:val="25"/>
        <w:snapToGrid w:val="0"/>
        <w:spacing w:line="480" w:lineRule="exact"/>
        <w:ind w:firstLine="480" w:firstLineChars="200"/>
        <w:jc w:val="left"/>
        <w:rPr>
          <w:rFonts w:ascii="仿宋_GB2312" w:hAnsi="宋体" w:eastAsia="仿宋_GB2312" w:cs="宋体"/>
          <w:sz w:val="24"/>
        </w:rPr>
      </w:pPr>
      <w:r>
        <w:rPr>
          <w:rFonts w:ascii="仿宋_GB2312" w:hAnsi="宋体" w:eastAsia="仿宋_GB2312" w:cs="宋体"/>
          <w:sz w:val="24"/>
        </w:rPr>
        <w:t>5.</w:t>
      </w:r>
      <w:r>
        <w:rPr>
          <w:rFonts w:hint="eastAsia" w:ascii="仿宋_GB2312" w:hAnsi="宋体" w:eastAsia="仿宋_GB2312" w:cs="宋体"/>
          <w:sz w:val="24"/>
        </w:rPr>
        <w:t>我公司没有违反法律、法规行为，依法被取消投标资格且期限未满。</w:t>
      </w:r>
    </w:p>
    <w:p>
      <w:pPr>
        <w:pStyle w:val="25"/>
        <w:snapToGrid w:val="0"/>
        <w:spacing w:line="480" w:lineRule="exact"/>
        <w:ind w:firstLine="480" w:firstLineChars="200"/>
        <w:jc w:val="left"/>
        <w:rPr>
          <w:rFonts w:ascii="仿宋_GB2312" w:hAnsi="宋体" w:eastAsia="仿宋_GB2312" w:cs="宋体"/>
          <w:sz w:val="24"/>
        </w:rPr>
      </w:pPr>
      <w:r>
        <w:rPr>
          <w:rFonts w:ascii="仿宋_GB2312" w:hAnsi="宋体" w:eastAsia="仿宋_GB2312" w:cs="宋体"/>
          <w:sz w:val="24"/>
        </w:rPr>
        <w:t>6.</w:t>
      </w:r>
      <w:r>
        <w:rPr>
          <w:rFonts w:hint="eastAsia" w:ascii="仿宋_GB2312" w:hAnsi="宋体" w:eastAsia="仿宋_GB2312" w:cs="宋体"/>
          <w:sz w:val="24"/>
        </w:rPr>
        <w:t>我公司没有因招投标活动中有违法违规和不良行为，被有关招投标行政监督部门公示且公示期限未满。</w:t>
      </w:r>
    </w:p>
    <w:p>
      <w:pPr>
        <w:pStyle w:val="25"/>
        <w:snapToGrid w:val="0"/>
        <w:spacing w:line="480" w:lineRule="exact"/>
        <w:ind w:firstLine="480" w:firstLineChars="200"/>
        <w:jc w:val="left"/>
        <w:rPr>
          <w:rFonts w:ascii="仿宋_GB2312" w:hAnsi="宋体" w:eastAsia="仿宋_GB2312" w:cs="宋体"/>
          <w:sz w:val="24"/>
        </w:rPr>
      </w:pPr>
      <w:r>
        <w:rPr>
          <w:rFonts w:hint="eastAsia" w:ascii="仿宋_GB2312" w:hAnsi="宋体" w:eastAsia="仿宋_GB2312" w:cs="宋体"/>
          <w:sz w:val="24"/>
        </w:rPr>
        <w:t>如我单位有幸中标，将严格按照国家法律法规，认真履行工作的职责和义务，在工作中积极配合建设单位，决不因我公司原因拖延交付时间。</w:t>
      </w:r>
    </w:p>
    <w:p>
      <w:pPr>
        <w:pStyle w:val="25"/>
        <w:snapToGrid w:val="0"/>
        <w:spacing w:line="480" w:lineRule="exact"/>
        <w:ind w:firstLine="480" w:firstLineChars="200"/>
        <w:jc w:val="left"/>
        <w:rPr>
          <w:rFonts w:ascii="仿宋_GB2312" w:hAnsi="宋体" w:eastAsia="仿宋_GB2312" w:cs="宋体"/>
          <w:sz w:val="24"/>
        </w:rPr>
      </w:pPr>
      <w:r>
        <w:rPr>
          <w:rFonts w:hint="eastAsia" w:ascii="仿宋_GB2312" w:hAnsi="宋体" w:eastAsia="仿宋_GB2312" w:cs="宋体"/>
          <w:sz w:val="24"/>
        </w:rPr>
        <w:t>特此承诺。</w:t>
      </w: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560" w:firstLineChars="200"/>
        <w:jc w:val="left"/>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投 标 人（盖章）：</w:t>
      </w:r>
      <w:r>
        <w:rPr>
          <w:rFonts w:hint="eastAsia" w:ascii="仿宋_GB2312" w:hAnsi="宋体" w:eastAsia="仿宋_GB2312" w:cs="宋体"/>
          <w:spacing w:val="20"/>
          <w:sz w:val="24"/>
          <w:szCs w:val="24"/>
          <w:u w:val="single"/>
        </w:rPr>
        <w:t xml:space="preserve">                              </w:t>
      </w:r>
    </w:p>
    <w:p>
      <w:pPr>
        <w:pStyle w:val="25"/>
        <w:snapToGrid w:val="0"/>
        <w:spacing w:line="480" w:lineRule="exact"/>
        <w:ind w:firstLine="560" w:firstLineChars="200"/>
        <w:jc w:val="left"/>
        <w:rPr>
          <w:rFonts w:ascii="仿宋_GB2312" w:hAnsi="宋体" w:eastAsia="仿宋_GB2312" w:cs="宋体"/>
          <w:spacing w:val="20"/>
          <w:sz w:val="24"/>
          <w:szCs w:val="24"/>
          <w:u w:val="single"/>
        </w:rPr>
      </w:pPr>
    </w:p>
    <w:p>
      <w:pPr>
        <w:pStyle w:val="25"/>
        <w:snapToGrid w:val="0"/>
        <w:spacing w:line="480" w:lineRule="exact"/>
        <w:ind w:firstLine="560" w:firstLineChars="200"/>
        <w:jc w:val="left"/>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法定代表人或委托代理人（签字或盖章）：</w:t>
      </w:r>
      <w:r>
        <w:rPr>
          <w:rFonts w:hint="eastAsia" w:ascii="仿宋_GB2312" w:hAnsi="宋体" w:eastAsia="仿宋_GB2312" w:cs="宋体"/>
          <w:spacing w:val="20"/>
          <w:sz w:val="24"/>
          <w:szCs w:val="24"/>
          <w:u w:val="single"/>
        </w:rPr>
        <w:t xml:space="preserve">             </w:t>
      </w:r>
    </w:p>
    <w:p>
      <w:pPr>
        <w:pStyle w:val="25"/>
        <w:snapToGrid w:val="0"/>
        <w:spacing w:line="480" w:lineRule="exact"/>
        <w:ind w:firstLine="0"/>
        <w:jc w:val="left"/>
        <w:rPr>
          <w:rFonts w:ascii="仿宋_GB2312" w:hAnsi="宋体" w:eastAsia="仿宋_GB2312" w:cs="宋体"/>
          <w:spacing w:val="20"/>
          <w:sz w:val="24"/>
          <w:szCs w:val="24"/>
        </w:rPr>
      </w:pPr>
    </w:p>
    <w:p>
      <w:pPr>
        <w:pStyle w:val="25"/>
        <w:snapToGrid w:val="0"/>
        <w:spacing w:line="480" w:lineRule="exact"/>
        <w:ind w:firstLine="0"/>
        <w:jc w:val="right"/>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u w:val="single"/>
        </w:rPr>
        <w:t xml:space="preserve">　 </w:t>
      </w:r>
      <w:r>
        <w:rPr>
          <w:rFonts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年</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月</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日</w:t>
      </w:r>
    </w:p>
    <w:p>
      <w:pPr>
        <w:pStyle w:val="25"/>
        <w:snapToGrid w:val="0"/>
        <w:spacing w:line="480" w:lineRule="exact"/>
        <w:ind w:firstLine="480" w:firstLineChars="200"/>
        <w:jc w:val="left"/>
        <w:rPr>
          <w:rFonts w:hAnsi="宋体" w:cs="宋体"/>
          <w:sz w:val="24"/>
        </w:rPr>
      </w:pPr>
    </w:p>
    <w:p>
      <w:pPr>
        <w:pStyle w:val="25"/>
        <w:snapToGrid w:val="0"/>
        <w:spacing w:line="480" w:lineRule="exact"/>
        <w:ind w:firstLine="480" w:firstLineChars="200"/>
        <w:rPr>
          <w:rFonts w:hAnsi="宋体" w:cs="宋体"/>
          <w:sz w:val="24"/>
        </w:rPr>
      </w:pPr>
    </w:p>
    <w:p>
      <w:pPr>
        <w:pStyle w:val="25"/>
        <w:snapToGrid w:val="0"/>
        <w:spacing w:line="480" w:lineRule="exact"/>
        <w:ind w:firstLine="480" w:firstLineChars="200"/>
        <w:rPr>
          <w:rFonts w:hAnsi="宋体" w:cs="宋体"/>
          <w:sz w:val="24"/>
        </w:rPr>
      </w:pPr>
    </w:p>
    <w:p>
      <w:pPr>
        <w:pStyle w:val="25"/>
        <w:snapToGrid w:val="0"/>
        <w:spacing w:line="480" w:lineRule="exact"/>
        <w:ind w:firstLine="480" w:firstLineChars="200"/>
        <w:rPr>
          <w:rFonts w:hAnsi="宋体" w:cs="宋体"/>
          <w:sz w:val="24"/>
        </w:rPr>
      </w:pPr>
    </w:p>
    <w:p>
      <w:pPr>
        <w:pStyle w:val="25"/>
        <w:snapToGrid w:val="0"/>
        <w:spacing w:line="480" w:lineRule="exact"/>
        <w:ind w:firstLine="480" w:firstLineChars="200"/>
        <w:rPr>
          <w:rFonts w:hAnsi="宋体" w:cs="宋体"/>
          <w:sz w:val="24"/>
        </w:rPr>
      </w:pPr>
    </w:p>
    <w:p>
      <w:pPr>
        <w:pStyle w:val="6"/>
        <w:spacing w:line="480" w:lineRule="exact"/>
        <w:rPr>
          <w:rFonts w:cs="宋体"/>
          <w:kern w:val="1"/>
        </w:rPr>
      </w:pPr>
      <w:bookmarkStart w:id="315" w:name="_Toc15729"/>
      <w:bookmarkStart w:id="316" w:name="_Toc41658938"/>
      <w:bookmarkStart w:id="317" w:name="_Toc42015206"/>
      <w:bookmarkStart w:id="318" w:name="_Toc18603127"/>
      <w:bookmarkStart w:id="319" w:name="_Toc31926"/>
      <w:bookmarkStart w:id="320" w:name="_Toc502848427"/>
      <w:bookmarkStart w:id="321" w:name="_Toc25089_WPSOffice_Level2"/>
      <w:bookmarkStart w:id="322" w:name="_Toc42015421"/>
      <w:r>
        <w:rPr>
          <w:rFonts w:hint="eastAsia" w:cs="宋体"/>
          <w:kern w:val="1"/>
        </w:rPr>
        <w:t>（十）反商业贿赂承诺书</w:t>
      </w:r>
      <w:bookmarkEnd w:id="315"/>
      <w:bookmarkEnd w:id="316"/>
      <w:bookmarkEnd w:id="317"/>
      <w:bookmarkEnd w:id="318"/>
      <w:bookmarkEnd w:id="319"/>
      <w:bookmarkEnd w:id="320"/>
      <w:bookmarkEnd w:id="321"/>
      <w:bookmarkEnd w:id="322"/>
    </w:p>
    <w:p>
      <w:pPr>
        <w:pStyle w:val="25"/>
        <w:snapToGrid w:val="0"/>
        <w:spacing w:line="480" w:lineRule="exact"/>
        <w:ind w:firstLine="480" w:firstLineChars="200"/>
        <w:rPr>
          <w:rFonts w:ascii="仿宋_GB2312" w:hAnsi="宋体" w:eastAsia="仿宋_GB2312" w:cs="宋体"/>
          <w:sz w:val="24"/>
        </w:rPr>
      </w:pPr>
    </w:p>
    <w:p>
      <w:pPr>
        <w:pStyle w:val="25"/>
        <w:snapToGrid w:val="0"/>
        <w:spacing w:line="480" w:lineRule="exact"/>
        <w:ind w:firstLine="480" w:firstLineChars="200"/>
        <w:rPr>
          <w:rFonts w:ascii="仿宋_GB2312" w:hAnsi="宋体" w:eastAsia="仿宋_GB2312" w:cs="宋体"/>
          <w:sz w:val="24"/>
          <w:u w:val="single"/>
        </w:rPr>
      </w:pPr>
      <w:r>
        <w:rPr>
          <w:rFonts w:hint="eastAsia" w:ascii="仿宋_GB2312" w:hAnsi="宋体" w:eastAsia="仿宋_GB2312" w:cs="宋体"/>
          <w:sz w:val="24"/>
        </w:rPr>
        <w:t>致：</w:t>
      </w:r>
      <w:r>
        <w:rPr>
          <w:rFonts w:hint="eastAsia" w:ascii="仿宋_GB2312" w:hAnsi="宋体" w:eastAsia="仿宋_GB2312" w:cs="宋体"/>
          <w:sz w:val="24"/>
          <w:u w:val="single"/>
        </w:rPr>
        <w:t xml:space="preserve"> </w:t>
      </w:r>
      <w:r>
        <w:rPr>
          <w:rFonts w:ascii="仿宋_GB2312" w:hAnsi="宋体" w:eastAsia="仿宋_GB2312" w:cs="宋体"/>
          <w:sz w:val="24"/>
          <w:u w:val="single"/>
        </w:rPr>
        <w:t xml:space="preserve">    </w:t>
      </w:r>
      <w:r>
        <w:rPr>
          <w:rFonts w:hint="eastAsia" w:ascii="仿宋_GB2312" w:hAnsi="宋体" w:eastAsia="仿宋_GB2312" w:cs="宋体"/>
          <w:sz w:val="24"/>
          <w:u w:val="single"/>
        </w:rPr>
        <w:t>（招标人）</w:t>
      </w:r>
      <w:r>
        <w:rPr>
          <w:rFonts w:hint="eastAsia" w:ascii="仿宋_GB2312" w:hAnsi="宋体" w:eastAsia="仿宋_GB2312" w:cs="宋体"/>
          <w:sz w:val="24"/>
          <w:szCs w:val="24"/>
          <w:u w:val="single"/>
        </w:rPr>
        <w:t xml:space="preserve"> </w:t>
      </w:r>
      <w:r>
        <w:rPr>
          <w:rFonts w:hint="eastAsia" w:ascii="仿宋_GB2312" w:hAnsi="宋体" w:eastAsia="仿宋_GB2312" w:cs="宋体"/>
          <w:sz w:val="24"/>
          <w:u w:val="single"/>
        </w:rPr>
        <w:t xml:space="preserve">     </w:t>
      </w:r>
    </w:p>
    <w:p>
      <w:pPr>
        <w:pStyle w:val="25"/>
        <w:snapToGrid w:val="0"/>
        <w:spacing w:line="480" w:lineRule="exact"/>
        <w:ind w:firstLine="480" w:firstLineChars="200"/>
        <w:rPr>
          <w:rFonts w:ascii="仿宋_GB2312" w:hAnsi="宋体" w:eastAsia="仿宋_GB2312" w:cs="宋体"/>
          <w:sz w:val="24"/>
        </w:rPr>
      </w:pPr>
      <w:r>
        <w:rPr>
          <w:rFonts w:hint="eastAsia" w:ascii="仿宋_GB2312" w:hAnsi="宋体" w:eastAsia="仿宋_GB2312" w:cs="宋体"/>
          <w:sz w:val="24"/>
        </w:rPr>
        <w:t>我公司承诺，在</w:t>
      </w:r>
      <w:r>
        <w:rPr>
          <w:rFonts w:hint="eastAsia" w:ascii="仿宋_GB2312" w:hAnsi="宋体" w:eastAsia="仿宋_GB2312" w:cs="宋体"/>
          <w:sz w:val="24"/>
          <w:u w:val="single"/>
        </w:rPr>
        <w:t xml:space="preserve"> （项目名称） </w:t>
      </w:r>
      <w:r>
        <w:rPr>
          <w:rFonts w:hint="eastAsia" w:ascii="仿宋_GB2312" w:hAnsi="宋体" w:eastAsia="仿宋_GB2312" w:cs="宋体"/>
          <w:sz w:val="24"/>
        </w:rPr>
        <w:t>投标活动中，我公司保证做到：</w:t>
      </w:r>
    </w:p>
    <w:p>
      <w:pPr>
        <w:pStyle w:val="25"/>
        <w:snapToGrid w:val="0"/>
        <w:spacing w:line="480" w:lineRule="exact"/>
        <w:ind w:firstLine="480" w:firstLineChars="200"/>
        <w:rPr>
          <w:rFonts w:ascii="仿宋_GB2312" w:hAnsi="宋体" w:eastAsia="仿宋_GB2312" w:cs="宋体"/>
          <w:sz w:val="24"/>
        </w:rPr>
      </w:pPr>
      <w:r>
        <w:rPr>
          <w:rFonts w:ascii="仿宋_GB2312" w:hAnsi="宋体" w:eastAsia="仿宋_GB2312" w:cs="宋体"/>
          <w:sz w:val="24"/>
        </w:rPr>
        <w:t>1.</w:t>
      </w:r>
      <w:r>
        <w:rPr>
          <w:rFonts w:hint="eastAsia" w:ascii="仿宋_GB2312" w:hAnsi="宋体" w:eastAsia="仿宋_GB2312" w:cs="宋体"/>
          <w:sz w:val="24"/>
        </w:rPr>
        <w:t>公平竞争参加本次投标活动。</w:t>
      </w:r>
    </w:p>
    <w:p>
      <w:pPr>
        <w:pStyle w:val="25"/>
        <w:snapToGrid w:val="0"/>
        <w:spacing w:line="480" w:lineRule="exact"/>
        <w:ind w:firstLine="480" w:firstLineChars="200"/>
        <w:rPr>
          <w:rFonts w:ascii="仿宋_GB2312" w:hAnsi="宋体" w:eastAsia="仿宋_GB2312" w:cs="宋体"/>
          <w:sz w:val="24"/>
        </w:rPr>
      </w:pPr>
      <w:r>
        <w:rPr>
          <w:rFonts w:ascii="仿宋_GB2312" w:hAnsi="宋体" w:eastAsia="仿宋_GB2312" w:cs="宋体"/>
          <w:sz w:val="24"/>
        </w:rPr>
        <w:t>2.</w:t>
      </w:r>
      <w:r>
        <w:rPr>
          <w:rFonts w:hint="eastAsia" w:ascii="仿宋_GB2312" w:hAnsi="宋体" w:eastAsia="仿宋_GB2312" w:cs="宋体"/>
          <w:sz w:val="24"/>
        </w:rPr>
        <w:t>杜绝任何形式的商业贿赂行为。不向招标人、代理机构工作人员、评审专家及其亲属提供礼品礼金、有价证券、购物券、回扣、佣金、咨询费、劳务费、赞助费、宣传费、宴请；不为其报销各种消费凭证，不支付其旅游、娱乐等费用。</w:t>
      </w:r>
    </w:p>
    <w:p>
      <w:pPr>
        <w:pStyle w:val="25"/>
        <w:snapToGrid w:val="0"/>
        <w:spacing w:line="480" w:lineRule="exact"/>
        <w:ind w:firstLine="480" w:firstLineChars="200"/>
        <w:rPr>
          <w:rFonts w:ascii="仿宋_GB2312" w:hAnsi="宋体" w:eastAsia="仿宋_GB2312" w:cs="宋体"/>
          <w:sz w:val="24"/>
        </w:rPr>
      </w:pPr>
      <w:r>
        <w:rPr>
          <w:rFonts w:ascii="仿宋_GB2312" w:hAnsi="宋体" w:eastAsia="仿宋_GB2312" w:cs="宋体"/>
          <w:sz w:val="24"/>
        </w:rPr>
        <w:t>3.</w:t>
      </w:r>
      <w:r>
        <w:rPr>
          <w:rFonts w:hint="eastAsia" w:ascii="仿宋_GB2312" w:hAnsi="宋体" w:eastAsia="仿宋_GB2312" w:cs="宋体"/>
          <w:sz w:val="24"/>
        </w:rPr>
        <w:t>若出现上述行为，我公司及参与投标的工作人员愿意接受按照国家法律法规等有关规定给予的处罚。</w:t>
      </w:r>
    </w:p>
    <w:p>
      <w:pPr>
        <w:pStyle w:val="25"/>
        <w:snapToGrid w:val="0"/>
        <w:spacing w:line="480" w:lineRule="exact"/>
        <w:ind w:firstLine="480" w:firstLineChars="200"/>
        <w:rPr>
          <w:rFonts w:ascii="仿宋_GB2312" w:hAnsi="宋体" w:eastAsia="仿宋_GB2312" w:cs="宋体"/>
          <w:sz w:val="24"/>
        </w:rPr>
      </w:pPr>
      <w:r>
        <w:rPr>
          <w:rFonts w:hint="eastAsia" w:ascii="仿宋_GB2312" w:hAnsi="宋体" w:eastAsia="仿宋_GB2312" w:cs="宋体"/>
          <w:sz w:val="24"/>
        </w:rPr>
        <w:t>特此承诺。</w:t>
      </w:r>
    </w:p>
    <w:p>
      <w:pPr>
        <w:pStyle w:val="25"/>
        <w:snapToGrid w:val="0"/>
        <w:spacing w:line="480" w:lineRule="exact"/>
        <w:ind w:firstLine="480" w:firstLineChars="200"/>
        <w:rPr>
          <w:rFonts w:ascii="仿宋_GB2312" w:hAnsi="宋体" w:eastAsia="仿宋_GB2312" w:cs="宋体"/>
          <w:sz w:val="24"/>
        </w:rPr>
      </w:pPr>
    </w:p>
    <w:p>
      <w:pPr>
        <w:pStyle w:val="25"/>
        <w:snapToGrid w:val="0"/>
        <w:spacing w:line="480" w:lineRule="exact"/>
        <w:ind w:firstLine="480" w:firstLineChars="200"/>
        <w:rPr>
          <w:rFonts w:ascii="仿宋_GB2312" w:hAnsi="宋体" w:eastAsia="仿宋_GB2312" w:cs="宋体"/>
          <w:sz w:val="24"/>
        </w:rPr>
      </w:pPr>
    </w:p>
    <w:p>
      <w:pPr>
        <w:pStyle w:val="25"/>
        <w:snapToGrid w:val="0"/>
        <w:spacing w:line="480" w:lineRule="exact"/>
        <w:ind w:firstLine="480" w:firstLineChars="200"/>
        <w:rPr>
          <w:rFonts w:ascii="仿宋_GB2312" w:hAnsi="宋体" w:eastAsia="仿宋_GB2312" w:cs="宋体"/>
          <w:sz w:val="24"/>
        </w:rPr>
      </w:pPr>
    </w:p>
    <w:p>
      <w:pPr>
        <w:pStyle w:val="25"/>
        <w:snapToGrid w:val="0"/>
        <w:spacing w:line="480" w:lineRule="exact"/>
        <w:ind w:firstLine="480" w:firstLineChars="200"/>
        <w:rPr>
          <w:rFonts w:ascii="仿宋_GB2312" w:hAnsi="宋体" w:eastAsia="仿宋_GB2312" w:cs="宋体"/>
          <w:sz w:val="24"/>
        </w:rPr>
      </w:pPr>
    </w:p>
    <w:p>
      <w:pPr>
        <w:pStyle w:val="25"/>
        <w:snapToGrid w:val="0"/>
        <w:spacing w:line="480" w:lineRule="exact"/>
        <w:ind w:firstLine="480" w:firstLineChars="200"/>
        <w:rPr>
          <w:rFonts w:ascii="仿宋_GB2312" w:hAnsi="宋体" w:eastAsia="仿宋_GB2312" w:cs="宋体"/>
          <w:sz w:val="24"/>
        </w:rPr>
      </w:pPr>
    </w:p>
    <w:p>
      <w:pPr>
        <w:pStyle w:val="25"/>
        <w:snapToGrid w:val="0"/>
        <w:spacing w:line="480" w:lineRule="exact"/>
        <w:ind w:firstLine="560" w:firstLineChars="200"/>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投 标 人（盖章）：</w:t>
      </w:r>
      <w:r>
        <w:rPr>
          <w:rFonts w:hint="eastAsia" w:ascii="仿宋_GB2312" w:hAnsi="宋体" w:eastAsia="仿宋_GB2312" w:cs="宋体"/>
          <w:spacing w:val="20"/>
          <w:sz w:val="24"/>
          <w:szCs w:val="24"/>
          <w:u w:val="single"/>
        </w:rPr>
        <w:t xml:space="preserve">                              </w:t>
      </w:r>
    </w:p>
    <w:p>
      <w:pPr>
        <w:pStyle w:val="25"/>
        <w:snapToGrid w:val="0"/>
        <w:spacing w:line="480" w:lineRule="exact"/>
        <w:ind w:firstLine="560" w:firstLineChars="200"/>
        <w:rPr>
          <w:rFonts w:ascii="仿宋_GB2312" w:hAnsi="宋体" w:eastAsia="仿宋_GB2312" w:cs="宋体"/>
          <w:spacing w:val="20"/>
          <w:sz w:val="24"/>
          <w:szCs w:val="24"/>
          <w:u w:val="single"/>
        </w:rPr>
      </w:pPr>
    </w:p>
    <w:p>
      <w:pPr>
        <w:pStyle w:val="25"/>
        <w:snapToGrid w:val="0"/>
        <w:spacing w:line="480" w:lineRule="exact"/>
        <w:ind w:firstLine="560" w:firstLineChars="200"/>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法定代表人或委托代理人（签字或盖章）：</w:t>
      </w:r>
      <w:r>
        <w:rPr>
          <w:rFonts w:hint="eastAsia" w:ascii="仿宋_GB2312" w:hAnsi="宋体" w:eastAsia="仿宋_GB2312" w:cs="宋体"/>
          <w:spacing w:val="20"/>
          <w:sz w:val="24"/>
          <w:szCs w:val="24"/>
          <w:u w:val="single"/>
        </w:rPr>
        <w:t xml:space="preserve">             </w:t>
      </w:r>
    </w:p>
    <w:p>
      <w:pPr>
        <w:pStyle w:val="25"/>
        <w:snapToGrid w:val="0"/>
        <w:spacing w:line="480" w:lineRule="exact"/>
        <w:ind w:firstLine="560" w:firstLineChars="200"/>
        <w:rPr>
          <w:rFonts w:ascii="仿宋_GB2312" w:hAnsi="宋体" w:eastAsia="仿宋_GB2312" w:cs="宋体"/>
          <w:spacing w:val="20"/>
          <w:sz w:val="24"/>
          <w:szCs w:val="24"/>
          <w:u w:val="single"/>
        </w:rPr>
      </w:pPr>
    </w:p>
    <w:p>
      <w:pPr>
        <w:pStyle w:val="25"/>
        <w:snapToGrid w:val="0"/>
        <w:spacing w:line="480" w:lineRule="exact"/>
        <w:ind w:firstLineChars="150"/>
        <w:jc w:val="right"/>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u w:val="single"/>
        </w:rPr>
        <w:t xml:space="preserve">　 </w:t>
      </w:r>
      <w:r>
        <w:rPr>
          <w:rFonts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年</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月</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日</w:t>
      </w:r>
    </w:p>
    <w:p>
      <w:pPr>
        <w:pStyle w:val="21"/>
        <w:spacing w:after="0" w:line="480" w:lineRule="exact"/>
        <w:ind w:firstLine="482" w:firstLineChars="200"/>
        <w:rPr>
          <w:rFonts w:cs="宋体"/>
          <w:b/>
          <w:bCs/>
          <w:sz w:val="24"/>
        </w:rPr>
      </w:pPr>
    </w:p>
    <w:p>
      <w:pPr>
        <w:pStyle w:val="62"/>
        <w:spacing w:line="480" w:lineRule="exact"/>
        <w:ind w:firstLine="420" w:firstLineChars="200"/>
        <w:rPr>
          <w:rFonts w:ascii="宋体" w:hAnsi="宋体" w:cs="宋体"/>
        </w:rPr>
      </w:pPr>
    </w:p>
    <w:p>
      <w:pPr>
        <w:pStyle w:val="62"/>
        <w:spacing w:line="480" w:lineRule="exact"/>
        <w:ind w:firstLine="420" w:firstLineChars="200"/>
        <w:rPr>
          <w:rFonts w:ascii="宋体" w:hAnsi="宋体" w:cs="宋体"/>
        </w:rPr>
      </w:pPr>
    </w:p>
    <w:p>
      <w:pPr>
        <w:pStyle w:val="62"/>
        <w:spacing w:line="480" w:lineRule="exact"/>
        <w:ind w:firstLine="420" w:firstLineChars="200"/>
        <w:rPr>
          <w:rFonts w:ascii="宋体" w:hAnsi="宋体" w:cs="宋体"/>
        </w:rPr>
      </w:pPr>
    </w:p>
    <w:p>
      <w:pPr>
        <w:pStyle w:val="62"/>
        <w:spacing w:line="480" w:lineRule="exact"/>
        <w:ind w:firstLine="420" w:firstLineChars="200"/>
        <w:rPr>
          <w:rFonts w:ascii="宋体" w:hAnsi="宋体" w:cs="宋体"/>
        </w:rPr>
      </w:pPr>
    </w:p>
    <w:p>
      <w:pPr>
        <w:pStyle w:val="6"/>
        <w:spacing w:line="480" w:lineRule="exact"/>
        <w:rPr>
          <w:rFonts w:cs="宋体"/>
        </w:rPr>
      </w:pPr>
      <w:bookmarkStart w:id="323" w:name="_Toc7647_WPSOffice_Level2"/>
      <w:bookmarkStart w:id="324" w:name="_Toc42015207"/>
      <w:bookmarkStart w:id="325" w:name="_Toc42015422"/>
      <w:bookmarkStart w:id="326" w:name="_Toc18603128"/>
      <w:bookmarkStart w:id="327" w:name="_Toc15111"/>
      <w:bookmarkStart w:id="328" w:name="_Toc2306"/>
      <w:bookmarkStart w:id="329" w:name="_Toc41658939"/>
      <w:r>
        <w:rPr>
          <w:rFonts w:hint="eastAsia" w:cs="宋体"/>
        </w:rPr>
        <w:t>（十一） 投标人纳税资格证明</w:t>
      </w:r>
    </w:p>
    <w:p>
      <w:pPr>
        <w:pStyle w:val="2"/>
        <w:rPr>
          <w:rFonts w:ascii="宋体"/>
          <w:sz w:val="28"/>
          <w:szCs w:val="28"/>
        </w:rPr>
      </w:pPr>
      <w:r>
        <w:br w:type="page"/>
      </w:r>
    </w:p>
    <w:p>
      <w:pPr>
        <w:pStyle w:val="6"/>
        <w:spacing w:line="480" w:lineRule="exact"/>
        <w:rPr>
          <w:rFonts w:cs="宋体"/>
        </w:rPr>
      </w:pPr>
      <w:r>
        <w:rPr>
          <w:rFonts w:hint="eastAsia" w:cs="宋体"/>
        </w:rPr>
        <w:t>（十二）投标人认为需要提供的其他资料</w:t>
      </w:r>
      <w:bookmarkEnd w:id="323"/>
      <w:bookmarkEnd w:id="324"/>
      <w:bookmarkEnd w:id="325"/>
      <w:bookmarkEnd w:id="326"/>
      <w:bookmarkEnd w:id="327"/>
      <w:bookmarkEnd w:id="328"/>
      <w:bookmarkEnd w:id="329"/>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p>
      <w:pPr>
        <w:spacing w:line="480" w:lineRule="exact"/>
        <w:ind w:firstLine="420" w:firstLineChars="200"/>
        <w:rPr>
          <w:rFonts w:ascii="宋体" w:hAnsi="宋体" w:cs="宋体"/>
        </w:rPr>
      </w:pPr>
    </w:p>
    <w:bookmarkEnd w:id="309"/>
    <w:bookmarkEnd w:id="310"/>
    <w:bookmarkEnd w:id="311"/>
    <w:bookmarkEnd w:id="312"/>
    <w:bookmarkEnd w:id="313"/>
    <w:bookmarkEnd w:id="314"/>
    <w:p>
      <w:pPr>
        <w:pStyle w:val="124"/>
        <w:spacing w:line="480" w:lineRule="exact"/>
        <w:rPr>
          <w:rFonts w:ascii="宋体" w:hAnsi="宋体" w:cs="宋体"/>
          <w:sz w:val="36"/>
          <w:szCs w:val="36"/>
        </w:rPr>
      </w:pPr>
      <w:bookmarkStart w:id="330" w:name="_Toc477717228"/>
      <w:bookmarkStart w:id="331" w:name="_Toc18603129"/>
      <w:bookmarkStart w:id="332" w:name="_Toc41658940"/>
      <w:bookmarkStart w:id="333" w:name="_Toc42015208"/>
      <w:bookmarkStart w:id="334" w:name="_Toc42015423"/>
      <w:bookmarkStart w:id="335" w:name="_Toc3710"/>
      <w:r>
        <w:rPr>
          <w:rFonts w:hint="eastAsia" w:ascii="宋体" w:hAnsi="宋体" w:cs="宋体"/>
          <w:sz w:val="36"/>
          <w:szCs w:val="36"/>
        </w:rPr>
        <w:t>二、</w:t>
      </w:r>
      <w:bookmarkEnd w:id="330"/>
      <w:r>
        <w:rPr>
          <w:rFonts w:hint="eastAsia" w:ascii="宋体" w:hAnsi="宋体" w:cs="宋体"/>
          <w:sz w:val="36"/>
          <w:szCs w:val="36"/>
        </w:rPr>
        <w:t>技术文件</w:t>
      </w:r>
      <w:bookmarkEnd w:id="331"/>
      <w:bookmarkEnd w:id="332"/>
      <w:bookmarkEnd w:id="333"/>
      <w:bookmarkEnd w:id="334"/>
      <w:bookmarkEnd w:id="335"/>
    </w:p>
    <w:p>
      <w:pPr>
        <w:pStyle w:val="135"/>
        <w:tabs>
          <w:tab w:val="left" w:pos="1365"/>
        </w:tabs>
        <w:spacing w:line="480" w:lineRule="exact"/>
        <w:ind w:firstLine="480" w:firstLineChars="200"/>
        <w:rPr>
          <w:rFonts w:ascii="宋体" w:hAnsi="宋体" w:cs="宋体"/>
          <w:sz w:val="24"/>
          <w:szCs w:val="24"/>
        </w:rPr>
      </w:pPr>
    </w:p>
    <w:p>
      <w:pPr>
        <w:pStyle w:val="135"/>
        <w:tabs>
          <w:tab w:val="left" w:pos="1365"/>
        </w:tabs>
        <w:spacing w:line="480" w:lineRule="exact"/>
        <w:ind w:firstLine="480" w:firstLineChars="200"/>
        <w:rPr>
          <w:rFonts w:ascii="宋体" w:hAnsi="宋体" w:cs="宋体"/>
          <w:sz w:val="24"/>
          <w:szCs w:val="24"/>
        </w:rPr>
      </w:pPr>
      <w:r>
        <w:rPr>
          <w:rFonts w:hint="eastAsia" w:ascii="宋体" w:hAnsi="宋体" w:cs="宋体"/>
          <w:sz w:val="24"/>
          <w:szCs w:val="24"/>
        </w:rPr>
        <w:t>由各投标人根据参考格式要求参照以下内容自行编写。目录清晰、内容详尽、易于理解和评审并富有建设性的技术方案将在评标时具有优势。</w:t>
      </w:r>
    </w:p>
    <w:p>
      <w:pPr>
        <w:pStyle w:val="135"/>
        <w:tabs>
          <w:tab w:val="left" w:pos="1365"/>
        </w:tabs>
        <w:spacing w:line="480" w:lineRule="exact"/>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文件目录（目录须涵盖下述所有资料页码清晰，以便查阅）；</w:t>
      </w:r>
    </w:p>
    <w:p>
      <w:pPr>
        <w:pStyle w:val="135"/>
        <w:tabs>
          <w:tab w:val="left" w:pos="1365"/>
        </w:tabs>
        <w:spacing w:line="480" w:lineRule="exact"/>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介绍、服务方案，投标人按招标文件要求作出详细描述，内容应包括但不限于：</w:t>
      </w:r>
    </w:p>
    <w:p>
      <w:pPr>
        <w:pStyle w:val="135"/>
        <w:tabs>
          <w:tab w:val="left" w:pos="1365"/>
        </w:tabs>
        <w:spacing w:line="480" w:lineRule="exact"/>
        <w:ind w:firstLine="480" w:firstLineChars="200"/>
        <w:rPr>
          <w:rFonts w:ascii="宋体" w:hAnsi="宋体" w:cs="宋体"/>
          <w:sz w:val="24"/>
          <w:szCs w:val="24"/>
        </w:rPr>
      </w:pPr>
      <w:r>
        <w:rPr>
          <w:rFonts w:hint="eastAsia" w:ascii="宋体" w:hAnsi="宋体" w:cs="宋体"/>
          <w:sz w:val="24"/>
          <w:szCs w:val="24"/>
        </w:rPr>
        <w:t>（1）项目</w:t>
      </w:r>
      <w:r>
        <w:rPr>
          <w:rFonts w:ascii="宋体" w:hAnsi="宋体" w:cs="宋体"/>
          <w:sz w:val="24"/>
          <w:szCs w:val="24"/>
        </w:rPr>
        <w:t>建设</w:t>
      </w:r>
      <w:r>
        <w:rPr>
          <w:rFonts w:hint="eastAsia" w:ascii="宋体" w:hAnsi="宋体" w:cs="宋体"/>
          <w:sz w:val="24"/>
          <w:szCs w:val="24"/>
        </w:rPr>
        <w:t>方案；</w:t>
      </w:r>
    </w:p>
    <w:p>
      <w:pPr>
        <w:pStyle w:val="135"/>
        <w:tabs>
          <w:tab w:val="left" w:pos="1365"/>
        </w:tabs>
        <w:spacing w:line="480" w:lineRule="exact"/>
        <w:ind w:firstLine="480" w:firstLineChars="200"/>
        <w:rPr>
          <w:rFonts w:ascii="宋体" w:hAnsi="宋体" w:cs="宋体"/>
          <w:sz w:val="24"/>
          <w:szCs w:val="24"/>
        </w:rPr>
      </w:pPr>
      <w:r>
        <w:rPr>
          <w:rFonts w:hint="eastAsia" w:ascii="宋体" w:hAnsi="宋体" w:cs="宋体"/>
          <w:sz w:val="24"/>
          <w:szCs w:val="24"/>
        </w:rPr>
        <w:t>（2）</w:t>
      </w:r>
      <w:r>
        <w:rPr>
          <w:rFonts w:hint="eastAsia" w:ascii="宋体" w:hAnsi="宋体" w:cs="宋体"/>
          <w:color w:val="000000"/>
          <w:sz w:val="24"/>
          <w:szCs w:val="24"/>
        </w:rPr>
        <w:t>工期保障措施（开发实施</w:t>
      </w:r>
      <w:r>
        <w:rPr>
          <w:rFonts w:ascii="宋体" w:hAnsi="宋体" w:cs="宋体"/>
          <w:color w:val="000000"/>
          <w:sz w:val="24"/>
          <w:szCs w:val="24"/>
        </w:rPr>
        <w:t>进度计划表</w:t>
      </w:r>
      <w:r>
        <w:rPr>
          <w:rFonts w:hint="eastAsia" w:ascii="宋体" w:hAnsi="宋体" w:cs="宋体"/>
          <w:color w:val="000000"/>
          <w:sz w:val="24"/>
          <w:szCs w:val="24"/>
        </w:rPr>
        <w:t>）</w:t>
      </w:r>
      <w:r>
        <w:rPr>
          <w:rFonts w:hint="eastAsia" w:ascii="宋体" w:hAnsi="宋体" w:cs="宋体"/>
          <w:sz w:val="24"/>
          <w:szCs w:val="24"/>
        </w:rPr>
        <w:t>；</w:t>
      </w:r>
    </w:p>
    <w:p>
      <w:pPr>
        <w:pStyle w:val="135"/>
        <w:tabs>
          <w:tab w:val="left" w:pos="1365"/>
        </w:tabs>
        <w:spacing w:line="480" w:lineRule="exact"/>
        <w:ind w:firstLine="480" w:firstLineChars="200"/>
        <w:rPr>
          <w:rFonts w:ascii="宋体" w:hAnsi="宋体" w:cs="宋体"/>
          <w:sz w:val="24"/>
          <w:szCs w:val="24"/>
        </w:rPr>
      </w:pPr>
      <w:r>
        <w:rPr>
          <w:rFonts w:hint="eastAsia" w:ascii="宋体" w:hAnsi="宋体" w:cs="宋体"/>
          <w:sz w:val="24"/>
          <w:szCs w:val="24"/>
        </w:rPr>
        <w:t>（3）售后服务承诺或</w:t>
      </w:r>
      <w:r>
        <w:rPr>
          <w:rFonts w:ascii="宋体" w:hAnsi="宋体" w:cs="宋体"/>
          <w:sz w:val="24"/>
          <w:szCs w:val="24"/>
        </w:rPr>
        <w:t>服务</w:t>
      </w:r>
      <w:r>
        <w:rPr>
          <w:rFonts w:hint="eastAsia" w:ascii="宋体" w:hAnsi="宋体" w:cs="宋体"/>
          <w:sz w:val="24"/>
          <w:szCs w:val="24"/>
        </w:rPr>
        <w:t>方案；</w:t>
      </w:r>
    </w:p>
    <w:p>
      <w:pPr>
        <w:pStyle w:val="135"/>
        <w:tabs>
          <w:tab w:val="left" w:pos="1365"/>
        </w:tabs>
        <w:spacing w:line="480" w:lineRule="exact"/>
        <w:ind w:firstLine="480" w:firstLineChars="200"/>
        <w:rPr>
          <w:rFonts w:ascii="宋体" w:hAnsi="宋体" w:cs="宋体"/>
          <w:sz w:val="24"/>
          <w:szCs w:val="24"/>
        </w:rPr>
      </w:pPr>
      <w:r>
        <w:rPr>
          <w:rFonts w:hint="eastAsia" w:ascii="宋体" w:hAnsi="宋体" w:cs="宋体"/>
          <w:sz w:val="24"/>
          <w:szCs w:val="24"/>
        </w:rPr>
        <w:t>（4）投标人认为需加以说明的其他内容。</w:t>
      </w:r>
    </w:p>
    <w:p>
      <w:pPr>
        <w:pStyle w:val="135"/>
        <w:tabs>
          <w:tab w:val="left" w:pos="1365"/>
        </w:tabs>
        <w:spacing w:line="480" w:lineRule="exact"/>
        <w:ind w:firstLine="480" w:firstLineChars="200"/>
        <w:rPr>
          <w:rFonts w:ascii="宋体" w:hAnsi="宋体" w:cs="宋体"/>
          <w:sz w:val="24"/>
          <w:szCs w:val="24"/>
        </w:rPr>
      </w:pPr>
      <w:r>
        <w:rPr>
          <w:rFonts w:hint="eastAsia" w:ascii="宋体" w:hAnsi="宋体" w:cs="宋体"/>
          <w:sz w:val="24"/>
          <w:szCs w:val="24"/>
        </w:rPr>
        <w:t>（5）技术方案需求</w:t>
      </w:r>
      <w:r>
        <w:rPr>
          <w:rFonts w:ascii="宋体" w:hAnsi="宋体" w:cs="宋体"/>
          <w:sz w:val="24"/>
          <w:szCs w:val="24"/>
        </w:rPr>
        <w:t>响应偏离表</w:t>
      </w:r>
    </w:p>
    <w:p>
      <w:pPr>
        <w:pStyle w:val="135"/>
        <w:tabs>
          <w:tab w:val="left" w:pos="1365"/>
        </w:tabs>
        <w:spacing w:line="480" w:lineRule="exact"/>
        <w:ind w:firstLine="480" w:firstLineChars="200"/>
        <w:rPr>
          <w:rFonts w:ascii="宋体" w:hAnsi="宋体" w:cs="宋体"/>
          <w:sz w:val="24"/>
          <w:szCs w:val="24"/>
        </w:rPr>
      </w:pPr>
      <w:r>
        <w:rPr>
          <w:rFonts w:hint="eastAsia" w:ascii="宋体" w:hAnsi="宋体" w:cs="宋体"/>
          <w:sz w:val="24"/>
          <w:szCs w:val="24"/>
        </w:rPr>
        <w:t>3、招标文件要求提供或投标人认为需提供的其它资料。</w:t>
      </w:r>
    </w:p>
    <w:p>
      <w:pPr>
        <w:pStyle w:val="135"/>
        <w:tabs>
          <w:tab w:val="left" w:pos="1365"/>
        </w:tabs>
        <w:spacing w:line="480" w:lineRule="exact"/>
        <w:ind w:firstLine="480" w:firstLineChars="200"/>
        <w:rPr>
          <w:rFonts w:ascii="宋体" w:hAnsi="宋体" w:cs="宋体"/>
          <w:sz w:val="24"/>
          <w:szCs w:val="24"/>
        </w:rPr>
      </w:pPr>
      <w:r>
        <w:rPr>
          <w:rFonts w:hint="eastAsia" w:ascii="宋体" w:hAnsi="宋体" w:cs="宋体"/>
          <w:sz w:val="24"/>
          <w:szCs w:val="24"/>
        </w:rPr>
        <w:t>说明：投标文件技术服务文件的编制原则，一是按招标文件要求，提供相应说明、资料、表格以证明所投货物或服务是否响应招标文件要求；二是对应项目评分标准，充分体现所投货物或服务对于评分标准的响应程度和优势。</w:t>
      </w:r>
    </w:p>
    <w:p>
      <w:pPr>
        <w:pStyle w:val="25"/>
        <w:snapToGrid w:val="0"/>
        <w:spacing w:line="480" w:lineRule="exact"/>
        <w:ind w:firstLine="0"/>
        <w:jc w:val="center"/>
        <w:rPr>
          <w:rFonts w:ascii="仿宋_GB2312" w:hAnsi="宋体" w:eastAsia="仿宋_GB2312" w:cs="宋体"/>
          <w:b/>
          <w:sz w:val="28"/>
          <w:szCs w:val="28"/>
        </w:rPr>
      </w:pPr>
      <w:r>
        <w:br w:type="page"/>
      </w:r>
      <w:r>
        <w:rPr>
          <w:rFonts w:hint="eastAsia" w:ascii="仿宋_GB2312" w:hAnsi="宋体" w:eastAsia="仿宋_GB2312" w:cs="宋体"/>
          <w:b/>
          <w:sz w:val="28"/>
          <w:szCs w:val="28"/>
        </w:rPr>
        <w:t>售后服务承诺及方案</w:t>
      </w: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480" w:firstLineChars="200"/>
        <w:jc w:val="left"/>
        <w:rPr>
          <w:rFonts w:ascii="仿宋_GB2312" w:hAnsi="宋体" w:eastAsia="仿宋_GB2312" w:cs="宋体"/>
          <w:sz w:val="24"/>
        </w:rPr>
      </w:pPr>
    </w:p>
    <w:p>
      <w:pPr>
        <w:pStyle w:val="25"/>
        <w:snapToGrid w:val="0"/>
        <w:spacing w:line="480" w:lineRule="exact"/>
        <w:ind w:firstLine="0"/>
        <w:jc w:val="left"/>
        <w:rPr>
          <w:rFonts w:ascii="仿宋_GB2312" w:hAnsi="宋体" w:eastAsia="仿宋_GB2312" w:cs="宋体"/>
          <w:sz w:val="24"/>
        </w:rPr>
      </w:pPr>
    </w:p>
    <w:p>
      <w:pPr>
        <w:pStyle w:val="25"/>
        <w:snapToGrid w:val="0"/>
        <w:spacing w:line="480" w:lineRule="exact"/>
        <w:ind w:firstLine="560" w:firstLineChars="200"/>
        <w:jc w:val="left"/>
        <w:rPr>
          <w:rFonts w:ascii="仿宋_GB2312" w:hAnsi="宋体" w:eastAsia="仿宋_GB2312" w:cs="宋体"/>
          <w:spacing w:val="20"/>
          <w:sz w:val="24"/>
          <w:szCs w:val="24"/>
        </w:rPr>
      </w:pPr>
    </w:p>
    <w:p>
      <w:pPr>
        <w:pStyle w:val="25"/>
        <w:snapToGrid w:val="0"/>
        <w:spacing w:line="480" w:lineRule="exact"/>
        <w:ind w:firstLine="560" w:firstLineChars="200"/>
        <w:jc w:val="left"/>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投 标 人（盖章）：</w:t>
      </w:r>
      <w:r>
        <w:rPr>
          <w:rFonts w:hint="eastAsia" w:ascii="仿宋_GB2312" w:hAnsi="宋体" w:eastAsia="仿宋_GB2312" w:cs="宋体"/>
          <w:spacing w:val="20"/>
          <w:sz w:val="24"/>
          <w:szCs w:val="24"/>
          <w:u w:val="single"/>
        </w:rPr>
        <w:t xml:space="preserve">                              </w:t>
      </w:r>
    </w:p>
    <w:p>
      <w:pPr>
        <w:pStyle w:val="25"/>
        <w:snapToGrid w:val="0"/>
        <w:spacing w:line="480" w:lineRule="exact"/>
        <w:ind w:firstLine="560" w:firstLineChars="200"/>
        <w:jc w:val="left"/>
        <w:rPr>
          <w:rFonts w:ascii="仿宋_GB2312" w:hAnsi="宋体" w:eastAsia="仿宋_GB2312" w:cs="宋体"/>
          <w:spacing w:val="20"/>
          <w:sz w:val="24"/>
          <w:szCs w:val="24"/>
          <w:u w:val="single"/>
        </w:rPr>
      </w:pPr>
    </w:p>
    <w:p>
      <w:pPr>
        <w:pStyle w:val="25"/>
        <w:snapToGrid w:val="0"/>
        <w:spacing w:line="480" w:lineRule="exact"/>
        <w:ind w:firstLine="560" w:firstLineChars="200"/>
        <w:jc w:val="left"/>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rPr>
        <w:t>法定代表人或委托代理人（签字或盖章）：</w:t>
      </w:r>
      <w:r>
        <w:rPr>
          <w:rFonts w:hint="eastAsia" w:ascii="仿宋_GB2312" w:hAnsi="宋体" w:eastAsia="仿宋_GB2312" w:cs="宋体"/>
          <w:spacing w:val="20"/>
          <w:sz w:val="24"/>
          <w:szCs w:val="24"/>
          <w:u w:val="single"/>
        </w:rPr>
        <w:t xml:space="preserve">             </w:t>
      </w:r>
    </w:p>
    <w:p>
      <w:pPr>
        <w:pStyle w:val="25"/>
        <w:snapToGrid w:val="0"/>
        <w:spacing w:line="480" w:lineRule="exact"/>
        <w:ind w:firstLine="560" w:firstLineChars="200"/>
        <w:jc w:val="left"/>
        <w:rPr>
          <w:rFonts w:ascii="仿宋_GB2312" w:hAnsi="宋体" w:eastAsia="仿宋_GB2312" w:cs="宋体"/>
          <w:spacing w:val="20"/>
          <w:sz w:val="24"/>
          <w:szCs w:val="24"/>
          <w:u w:val="single"/>
        </w:rPr>
      </w:pPr>
    </w:p>
    <w:p>
      <w:pPr>
        <w:pStyle w:val="25"/>
        <w:snapToGrid w:val="0"/>
        <w:spacing w:line="480" w:lineRule="exact"/>
        <w:ind w:firstLineChars="150"/>
        <w:jc w:val="right"/>
        <w:rPr>
          <w:rFonts w:ascii="仿宋_GB2312" w:hAnsi="宋体" w:eastAsia="仿宋_GB2312" w:cs="宋体"/>
          <w:spacing w:val="20"/>
          <w:sz w:val="24"/>
          <w:szCs w:val="24"/>
          <w:u w:val="single"/>
        </w:rPr>
      </w:pP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年</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月</w:t>
      </w:r>
      <w:r>
        <w:rPr>
          <w:rFonts w:hint="eastAsia" w:ascii="仿宋_GB2312" w:hAnsi="宋体" w:eastAsia="仿宋_GB2312" w:cs="宋体"/>
          <w:spacing w:val="20"/>
          <w:sz w:val="24"/>
          <w:szCs w:val="24"/>
          <w:u w:val="single"/>
        </w:rPr>
        <w:t xml:space="preserve">  　</w:t>
      </w:r>
      <w:r>
        <w:rPr>
          <w:rFonts w:hint="eastAsia" w:ascii="仿宋_GB2312" w:hAnsi="宋体" w:eastAsia="仿宋_GB2312" w:cs="宋体"/>
          <w:spacing w:val="20"/>
          <w:sz w:val="24"/>
          <w:szCs w:val="24"/>
        </w:rPr>
        <w:t>日</w:t>
      </w:r>
    </w:p>
    <w:p>
      <w:pPr>
        <w:pStyle w:val="73"/>
        <w:rPr>
          <w:rFonts w:ascii="宋体" w:hAnsi="宋体" w:cs="宋体"/>
        </w:rPr>
      </w:pPr>
    </w:p>
    <w:sectPr>
      <w:pgSz w:w="11907" w:h="16840"/>
      <w:pgMar w:top="2098" w:right="1474" w:bottom="1985" w:left="158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4795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pPr>
                            <w:pStyle w:val="30"/>
                          </w:pPr>
                          <w:r>
                            <w:rPr>
                              <w:rFonts w:hint="eastAsia"/>
                            </w:rPr>
                            <w:fldChar w:fldCharType="begin"/>
                          </w:r>
                          <w:r>
                            <w:rPr>
                              <w:rFonts w:hint="eastAsia"/>
                            </w:rPr>
                            <w:instrText xml:space="preserve"> PAGE  \* MERGEFORMAT </w:instrText>
                          </w:r>
                          <w:r>
                            <w:rPr>
                              <w:rFonts w:hint="eastAsia"/>
                            </w:rPr>
                            <w:fldChar w:fldCharType="separate"/>
                          </w:r>
                          <w:r>
                            <w:t>57</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8240;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nyxwC0QAAAAIBAAAPAAAAAAAAAAEAIAAAACIAAABkcnMvZG93&#10;bnJldi54bWxQSwECFAAUAAAACACHTuJA2ILGCgcCAAABBAAADgAAAAAAAAABACAAAAAgAQAAZHJz&#10;L2Uyb0RvYy54bWxQSwUGAAAAAAYABgBZAQAAmQUAAAAA&#10;">
              <v:fill on="f" focussize="0,0"/>
              <v:stroke on="f"/>
              <v:imagedata o:title=""/>
              <o:lock v:ext="edit" aspectratio="f"/>
              <v:textbox inset="0mm,0mm,0mm,0mm" style="mso-fit-shape-to-text:t;">
                <w:txbxContent>
                  <w:p>
                    <w:pPr>
                      <w:pStyle w:val="30"/>
                    </w:pPr>
                    <w:r>
                      <w:rPr>
                        <w:rFonts w:hint="eastAsia"/>
                      </w:rPr>
                      <w:fldChar w:fldCharType="begin"/>
                    </w:r>
                    <w:r>
                      <w:rPr>
                        <w:rFonts w:hint="eastAsia"/>
                      </w:rPr>
                      <w:instrText xml:space="preserve"> PAGE  \* MERGEFORMAT </w:instrText>
                    </w:r>
                    <w:r>
                      <w:rPr>
                        <w:rFonts w:hint="eastAsia"/>
                      </w:rPr>
                      <w:fldChar w:fldCharType="separate"/>
                    </w:r>
                    <w:r>
                      <w:t>57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rPr>
        <w:rStyle w:val="48"/>
      </w:rPr>
    </w:pPr>
    <w:r>
      <w:fldChar w:fldCharType="begin"/>
    </w:r>
    <w:r>
      <w:rPr>
        <w:rStyle w:val="48"/>
        <w:highlight w:val="white"/>
      </w:rPr>
      <w:instrText xml:space="preserve">PAGE  </w:instrText>
    </w:r>
    <w:r>
      <w:fldChar w:fldCharType="end"/>
    </w:r>
  </w:p>
  <w:p>
    <w:pPr>
      <w:pStyle w:val="3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0">
      <w:start w:val="1"/>
      <w:numFmt w:val="bullet"/>
      <w:pStyle w:val="17"/>
      <w:lvlText w:val=""/>
      <w:lvlJc w:val="left"/>
      <w:pPr>
        <w:tabs>
          <w:tab w:val="left" w:pos="360"/>
        </w:tabs>
        <w:ind w:left="360" w:hanging="360"/>
      </w:pPr>
      <w:rPr>
        <w:rFonts w:hint="default" w:ascii="Wingdings" w:hAnsi="Wingdings"/>
      </w:rPr>
    </w:lvl>
  </w:abstractNum>
  <w:abstractNum w:abstractNumId="1">
    <w:nsid w:val="0E574A54"/>
    <w:multiLevelType w:val="multilevel"/>
    <w:tmpl w:val="0E574A54"/>
    <w:lvl w:ilvl="0" w:tentative="0">
      <w:start w:val="1"/>
      <w:numFmt w:val="japaneseCounting"/>
      <w:pStyle w:val="230"/>
      <w:lvlText w:val="第%1条"/>
      <w:lvlJc w:val="left"/>
      <w:pPr>
        <w:tabs>
          <w:tab w:val="left" w:pos="2850"/>
        </w:tabs>
        <w:ind w:left="2850" w:hanging="1770"/>
      </w:pPr>
      <w:rPr>
        <w:rFonts w:hint="eastAsia" w:ascii="黑体" w:eastAsia="黑体"/>
        <w:b/>
        <w:i w:val="0"/>
        <w:sz w:val="32"/>
        <w:szCs w:val="32"/>
        <w:lang w:val="en-US"/>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808"/>
    <w:rsid w:val="000005D1"/>
    <w:rsid w:val="000019D2"/>
    <w:rsid w:val="0000253E"/>
    <w:rsid w:val="00002773"/>
    <w:rsid w:val="00007016"/>
    <w:rsid w:val="00007A31"/>
    <w:rsid w:val="0001249D"/>
    <w:rsid w:val="00012E85"/>
    <w:rsid w:val="00013815"/>
    <w:rsid w:val="00017912"/>
    <w:rsid w:val="00017C2A"/>
    <w:rsid w:val="00024652"/>
    <w:rsid w:val="00032F79"/>
    <w:rsid w:val="00033F42"/>
    <w:rsid w:val="0003598C"/>
    <w:rsid w:val="00037BFA"/>
    <w:rsid w:val="00041F6E"/>
    <w:rsid w:val="00043588"/>
    <w:rsid w:val="00043D32"/>
    <w:rsid w:val="000470D2"/>
    <w:rsid w:val="00051539"/>
    <w:rsid w:val="0005355A"/>
    <w:rsid w:val="00054F6D"/>
    <w:rsid w:val="0006080A"/>
    <w:rsid w:val="00061C46"/>
    <w:rsid w:val="00063EB6"/>
    <w:rsid w:val="0006407C"/>
    <w:rsid w:val="000745D3"/>
    <w:rsid w:val="00074D3A"/>
    <w:rsid w:val="00076033"/>
    <w:rsid w:val="00077434"/>
    <w:rsid w:val="0008151D"/>
    <w:rsid w:val="00085AF0"/>
    <w:rsid w:val="00086DD9"/>
    <w:rsid w:val="000923B3"/>
    <w:rsid w:val="000927DD"/>
    <w:rsid w:val="00093619"/>
    <w:rsid w:val="0009474A"/>
    <w:rsid w:val="00095727"/>
    <w:rsid w:val="00096749"/>
    <w:rsid w:val="000A0566"/>
    <w:rsid w:val="000A13DD"/>
    <w:rsid w:val="000A1501"/>
    <w:rsid w:val="000A6D72"/>
    <w:rsid w:val="000B3407"/>
    <w:rsid w:val="000B4CE6"/>
    <w:rsid w:val="000B51DD"/>
    <w:rsid w:val="000B5407"/>
    <w:rsid w:val="000B7723"/>
    <w:rsid w:val="000C04F1"/>
    <w:rsid w:val="000C36DD"/>
    <w:rsid w:val="000C4FE9"/>
    <w:rsid w:val="000C6ABD"/>
    <w:rsid w:val="000D38F1"/>
    <w:rsid w:val="000D3BA7"/>
    <w:rsid w:val="000E2789"/>
    <w:rsid w:val="000E412C"/>
    <w:rsid w:val="000E4471"/>
    <w:rsid w:val="000E57E1"/>
    <w:rsid w:val="000E5A6B"/>
    <w:rsid w:val="000F0E6A"/>
    <w:rsid w:val="000F25C0"/>
    <w:rsid w:val="000F4BFE"/>
    <w:rsid w:val="000F530E"/>
    <w:rsid w:val="000F5F83"/>
    <w:rsid w:val="000F6C37"/>
    <w:rsid w:val="00100C4C"/>
    <w:rsid w:val="00101C81"/>
    <w:rsid w:val="00102F92"/>
    <w:rsid w:val="001056AF"/>
    <w:rsid w:val="00105D69"/>
    <w:rsid w:val="00106057"/>
    <w:rsid w:val="00106C16"/>
    <w:rsid w:val="00107279"/>
    <w:rsid w:val="00107A76"/>
    <w:rsid w:val="00107C61"/>
    <w:rsid w:val="00110900"/>
    <w:rsid w:val="001239F2"/>
    <w:rsid w:val="00123DAE"/>
    <w:rsid w:val="00124701"/>
    <w:rsid w:val="00131F51"/>
    <w:rsid w:val="00132029"/>
    <w:rsid w:val="00132AE5"/>
    <w:rsid w:val="00132CD4"/>
    <w:rsid w:val="00137F93"/>
    <w:rsid w:val="001424B5"/>
    <w:rsid w:val="0014259D"/>
    <w:rsid w:val="00142C91"/>
    <w:rsid w:val="00143445"/>
    <w:rsid w:val="00143DFB"/>
    <w:rsid w:val="00144332"/>
    <w:rsid w:val="00145256"/>
    <w:rsid w:val="00147FE4"/>
    <w:rsid w:val="001517A8"/>
    <w:rsid w:val="001520C9"/>
    <w:rsid w:val="00153801"/>
    <w:rsid w:val="00155129"/>
    <w:rsid w:val="001569FB"/>
    <w:rsid w:val="00161675"/>
    <w:rsid w:val="00164689"/>
    <w:rsid w:val="00165104"/>
    <w:rsid w:val="00166D3E"/>
    <w:rsid w:val="00170461"/>
    <w:rsid w:val="00172442"/>
    <w:rsid w:val="00174B6B"/>
    <w:rsid w:val="00180471"/>
    <w:rsid w:val="00181926"/>
    <w:rsid w:val="00182BE0"/>
    <w:rsid w:val="001865B7"/>
    <w:rsid w:val="00187466"/>
    <w:rsid w:val="00187A69"/>
    <w:rsid w:val="00191F92"/>
    <w:rsid w:val="00192D54"/>
    <w:rsid w:val="001934A3"/>
    <w:rsid w:val="0019422E"/>
    <w:rsid w:val="00196945"/>
    <w:rsid w:val="001A1483"/>
    <w:rsid w:val="001A3DD8"/>
    <w:rsid w:val="001A6646"/>
    <w:rsid w:val="001A7AC8"/>
    <w:rsid w:val="001B10A5"/>
    <w:rsid w:val="001B10A7"/>
    <w:rsid w:val="001B40A3"/>
    <w:rsid w:val="001B505E"/>
    <w:rsid w:val="001C3011"/>
    <w:rsid w:val="001C3456"/>
    <w:rsid w:val="001C720D"/>
    <w:rsid w:val="001D0C91"/>
    <w:rsid w:val="001D17D3"/>
    <w:rsid w:val="001D2103"/>
    <w:rsid w:val="001D3123"/>
    <w:rsid w:val="001D3347"/>
    <w:rsid w:val="001D5D18"/>
    <w:rsid w:val="001E2CFF"/>
    <w:rsid w:val="001E3FC5"/>
    <w:rsid w:val="001E4115"/>
    <w:rsid w:val="001E6D3D"/>
    <w:rsid w:val="001F5CB7"/>
    <w:rsid w:val="001F633B"/>
    <w:rsid w:val="001F73F6"/>
    <w:rsid w:val="00201E36"/>
    <w:rsid w:val="00203013"/>
    <w:rsid w:val="00204EA0"/>
    <w:rsid w:val="002050AE"/>
    <w:rsid w:val="0021279A"/>
    <w:rsid w:val="00214BCB"/>
    <w:rsid w:val="00217409"/>
    <w:rsid w:val="0022368A"/>
    <w:rsid w:val="00224BEE"/>
    <w:rsid w:val="00231510"/>
    <w:rsid w:val="00240810"/>
    <w:rsid w:val="00243579"/>
    <w:rsid w:val="002447F1"/>
    <w:rsid w:val="00244973"/>
    <w:rsid w:val="00244A94"/>
    <w:rsid w:val="00250182"/>
    <w:rsid w:val="002502CC"/>
    <w:rsid w:val="00250FFC"/>
    <w:rsid w:val="00251205"/>
    <w:rsid w:val="002526E1"/>
    <w:rsid w:val="002530C0"/>
    <w:rsid w:val="0025322F"/>
    <w:rsid w:val="00253F07"/>
    <w:rsid w:val="00255361"/>
    <w:rsid w:val="00255E0E"/>
    <w:rsid w:val="00256964"/>
    <w:rsid w:val="00256F0E"/>
    <w:rsid w:val="00260B19"/>
    <w:rsid w:val="0026201C"/>
    <w:rsid w:val="00262083"/>
    <w:rsid w:val="00264A45"/>
    <w:rsid w:val="00270226"/>
    <w:rsid w:val="00270EB8"/>
    <w:rsid w:val="002716F0"/>
    <w:rsid w:val="0027331E"/>
    <w:rsid w:val="002747F9"/>
    <w:rsid w:val="0027480E"/>
    <w:rsid w:val="00281363"/>
    <w:rsid w:val="002836B9"/>
    <w:rsid w:val="002839D3"/>
    <w:rsid w:val="002853AA"/>
    <w:rsid w:val="00286EEE"/>
    <w:rsid w:val="0028795E"/>
    <w:rsid w:val="002920DF"/>
    <w:rsid w:val="0029248D"/>
    <w:rsid w:val="002A0150"/>
    <w:rsid w:val="002A07F3"/>
    <w:rsid w:val="002A440B"/>
    <w:rsid w:val="002A52B8"/>
    <w:rsid w:val="002B3F18"/>
    <w:rsid w:val="002B709B"/>
    <w:rsid w:val="002B747C"/>
    <w:rsid w:val="002B7745"/>
    <w:rsid w:val="002B7CAE"/>
    <w:rsid w:val="002C0EFA"/>
    <w:rsid w:val="002C22CE"/>
    <w:rsid w:val="002C3015"/>
    <w:rsid w:val="002C6DBB"/>
    <w:rsid w:val="002C7821"/>
    <w:rsid w:val="002D0A32"/>
    <w:rsid w:val="002D0A3A"/>
    <w:rsid w:val="002D4108"/>
    <w:rsid w:val="002D488E"/>
    <w:rsid w:val="002D4959"/>
    <w:rsid w:val="002D49B2"/>
    <w:rsid w:val="002D4B91"/>
    <w:rsid w:val="002D6BB2"/>
    <w:rsid w:val="002D79E3"/>
    <w:rsid w:val="002E360B"/>
    <w:rsid w:val="002E3856"/>
    <w:rsid w:val="002E7CD9"/>
    <w:rsid w:val="002F16A2"/>
    <w:rsid w:val="002F6ABC"/>
    <w:rsid w:val="00302110"/>
    <w:rsid w:val="003022DA"/>
    <w:rsid w:val="00302984"/>
    <w:rsid w:val="0030699B"/>
    <w:rsid w:val="00310B20"/>
    <w:rsid w:val="003120EA"/>
    <w:rsid w:val="00312BDE"/>
    <w:rsid w:val="00313A4F"/>
    <w:rsid w:val="00313D67"/>
    <w:rsid w:val="00313FFF"/>
    <w:rsid w:val="003163AB"/>
    <w:rsid w:val="00320117"/>
    <w:rsid w:val="00320263"/>
    <w:rsid w:val="00320BEC"/>
    <w:rsid w:val="00321840"/>
    <w:rsid w:val="00321F42"/>
    <w:rsid w:val="003242B4"/>
    <w:rsid w:val="00325C71"/>
    <w:rsid w:val="0033365C"/>
    <w:rsid w:val="00336081"/>
    <w:rsid w:val="00344AF5"/>
    <w:rsid w:val="0034560C"/>
    <w:rsid w:val="00347682"/>
    <w:rsid w:val="00350629"/>
    <w:rsid w:val="00350C7A"/>
    <w:rsid w:val="00352115"/>
    <w:rsid w:val="00353C23"/>
    <w:rsid w:val="00353DC8"/>
    <w:rsid w:val="003574FC"/>
    <w:rsid w:val="00360307"/>
    <w:rsid w:val="00362661"/>
    <w:rsid w:val="00362AC2"/>
    <w:rsid w:val="00363C10"/>
    <w:rsid w:val="00366125"/>
    <w:rsid w:val="00370271"/>
    <w:rsid w:val="00374472"/>
    <w:rsid w:val="003771F1"/>
    <w:rsid w:val="00377995"/>
    <w:rsid w:val="00377AC0"/>
    <w:rsid w:val="0038068B"/>
    <w:rsid w:val="00381655"/>
    <w:rsid w:val="00382B5D"/>
    <w:rsid w:val="00391FA5"/>
    <w:rsid w:val="00391FC8"/>
    <w:rsid w:val="003945DB"/>
    <w:rsid w:val="003946BB"/>
    <w:rsid w:val="00394DB6"/>
    <w:rsid w:val="003A104A"/>
    <w:rsid w:val="003A17FF"/>
    <w:rsid w:val="003A1A36"/>
    <w:rsid w:val="003A2A2E"/>
    <w:rsid w:val="003A6F20"/>
    <w:rsid w:val="003B1F47"/>
    <w:rsid w:val="003B242B"/>
    <w:rsid w:val="003B78A7"/>
    <w:rsid w:val="003C0DA0"/>
    <w:rsid w:val="003C10A4"/>
    <w:rsid w:val="003C26B2"/>
    <w:rsid w:val="003D1716"/>
    <w:rsid w:val="003D40B7"/>
    <w:rsid w:val="003D5C6A"/>
    <w:rsid w:val="003D642D"/>
    <w:rsid w:val="003E20D6"/>
    <w:rsid w:val="003E452E"/>
    <w:rsid w:val="003E47CB"/>
    <w:rsid w:val="003F0533"/>
    <w:rsid w:val="003F12BA"/>
    <w:rsid w:val="003F3518"/>
    <w:rsid w:val="003F3F48"/>
    <w:rsid w:val="003F4039"/>
    <w:rsid w:val="003F4678"/>
    <w:rsid w:val="003F69AE"/>
    <w:rsid w:val="00400B34"/>
    <w:rsid w:val="004017D3"/>
    <w:rsid w:val="00401A22"/>
    <w:rsid w:val="00403AD8"/>
    <w:rsid w:val="004044ED"/>
    <w:rsid w:val="00404726"/>
    <w:rsid w:val="00406574"/>
    <w:rsid w:val="00406B6B"/>
    <w:rsid w:val="004075F6"/>
    <w:rsid w:val="00413188"/>
    <w:rsid w:val="004219C9"/>
    <w:rsid w:val="004220BE"/>
    <w:rsid w:val="004240D1"/>
    <w:rsid w:val="00427E5D"/>
    <w:rsid w:val="00431AC8"/>
    <w:rsid w:val="00432D53"/>
    <w:rsid w:val="0043391D"/>
    <w:rsid w:val="00444E58"/>
    <w:rsid w:val="00445A43"/>
    <w:rsid w:val="00446039"/>
    <w:rsid w:val="00447F5B"/>
    <w:rsid w:val="00452783"/>
    <w:rsid w:val="0045341E"/>
    <w:rsid w:val="00461CFF"/>
    <w:rsid w:val="00464259"/>
    <w:rsid w:val="00464D50"/>
    <w:rsid w:val="004656CC"/>
    <w:rsid w:val="00466225"/>
    <w:rsid w:val="00466DBA"/>
    <w:rsid w:val="00467FEB"/>
    <w:rsid w:val="0047089A"/>
    <w:rsid w:val="00471C59"/>
    <w:rsid w:val="004738E9"/>
    <w:rsid w:val="0047391D"/>
    <w:rsid w:val="004740CD"/>
    <w:rsid w:val="004742A5"/>
    <w:rsid w:val="00476219"/>
    <w:rsid w:val="00476B8E"/>
    <w:rsid w:val="0048013C"/>
    <w:rsid w:val="0048104C"/>
    <w:rsid w:val="00482239"/>
    <w:rsid w:val="00486490"/>
    <w:rsid w:val="00487B7F"/>
    <w:rsid w:val="00487C09"/>
    <w:rsid w:val="00493038"/>
    <w:rsid w:val="004938C0"/>
    <w:rsid w:val="00495888"/>
    <w:rsid w:val="0049657B"/>
    <w:rsid w:val="004970B2"/>
    <w:rsid w:val="004A48C4"/>
    <w:rsid w:val="004A5259"/>
    <w:rsid w:val="004A6533"/>
    <w:rsid w:val="004A72F1"/>
    <w:rsid w:val="004A7B41"/>
    <w:rsid w:val="004B1C20"/>
    <w:rsid w:val="004C357E"/>
    <w:rsid w:val="004C3765"/>
    <w:rsid w:val="004C4D28"/>
    <w:rsid w:val="004C50EA"/>
    <w:rsid w:val="004C5A86"/>
    <w:rsid w:val="004D0189"/>
    <w:rsid w:val="004D0A10"/>
    <w:rsid w:val="004D2BD1"/>
    <w:rsid w:val="004D3250"/>
    <w:rsid w:val="004D3ADA"/>
    <w:rsid w:val="004D4078"/>
    <w:rsid w:val="004D432A"/>
    <w:rsid w:val="004D535E"/>
    <w:rsid w:val="004E40B9"/>
    <w:rsid w:val="004E615E"/>
    <w:rsid w:val="004E72EF"/>
    <w:rsid w:val="004F0D1D"/>
    <w:rsid w:val="004F1E94"/>
    <w:rsid w:val="004F2E74"/>
    <w:rsid w:val="004F39AA"/>
    <w:rsid w:val="004F5165"/>
    <w:rsid w:val="004F60F8"/>
    <w:rsid w:val="004F6D58"/>
    <w:rsid w:val="0050404E"/>
    <w:rsid w:val="00510541"/>
    <w:rsid w:val="00514A22"/>
    <w:rsid w:val="00517A53"/>
    <w:rsid w:val="005200E1"/>
    <w:rsid w:val="0052068A"/>
    <w:rsid w:val="005214A8"/>
    <w:rsid w:val="005218A1"/>
    <w:rsid w:val="005235BC"/>
    <w:rsid w:val="0052584D"/>
    <w:rsid w:val="0052680D"/>
    <w:rsid w:val="00532C54"/>
    <w:rsid w:val="00536380"/>
    <w:rsid w:val="00537952"/>
    <w:rsid w:val="00541A0B"/>
    <w:rsid w:val="00541A57"/>
    <w:rsid w:val="0054529A"/>
    <w:rsid w:val="00545503"/>
    <w:rsid w:val="00545516"/>
    <w:rsid w:val="00546847"/>
    <w:rsid w:val="00547A99"/>
    <w:rsid w:val="00552933"/>
    <w:rsid w:val="005551CF"/>
    <w:rsid w:val="005561FB"/>
    <w:rsid w:val="00560249"/>
    <w:rsid w:val="00565361"/>
    <w:rsid w:val="00566712"/>
    <w:rsid w:val="00571CB3"/>
    <w:rsid w:val="00574CB7"/>
    <w:rsid w:val="005750A9"/>
    <w:rsid w:val="005771C5"/>
    <w:rsid w:val="005773EC"/>
    <w:rsid w:val="00580286"/>
    <w:rsid w:val="00586FC1"/>
    <w:rsid w:val="0058788C"/>
    <w:rsid w:val="00592F48"/>
    <w:rsid w:val="005935E8"/>
    <w:rsid w:val="00593CD5"/>
    <w:rsid w:val="00594453"/>
    <w:rsid w:val="00595189"/>
    <w:rsid w:val="0059602E"/>
    <w:rsid w:val="00596082"/>
    <w:rsid w:val="005A3241"/>
    <w:rsid w:val="005B0EF0"/>
    <w:rsid w:val="005B14AE"/>
    <w:rsid w:val="005B2245"/>
    <w:rsid w:val="005B26C3"/>
    <w:rsid w:val="005C1C93"/>
    <w:rsid w:val="005C7066"/>
    <w:rsid w:val="005D0EF0"/>
    <w:rsid w:val="005D3BE0"/>
    <w:rsid w:val="005D5546"/>
    <w:rsid w:val="005E37E2"/>
    <w:rsid w:val="005E4FE8"/>
    <w:rsid w:val="005E689E"/>
    <w:rsid w:val="005E75A5"/>
    <w:rsid w:val="005F4972"/>
    <w:rsid w:val="005F619D"/>
    <w:rsid w:val="0060067C"/>
    <w:rsid w:val="0060284F"/>
    <w:rsid w:val="0060581A"/>
    <w:rsid w:val="0061072A"/>
    <w:rsid w:val="00615258"/>
    <w:rsid w:val="006165D1"/>
    <w:rsid w:val="00616F9E"/>
    <w:rsid w:val="00617708"/>
    <w:rsid w:val="0063197A"/>
    <w:rsid w:val="006331DB"/>
    <w:rsid w:val="00633609"/>
    <w:rsid w:val="006359E3"/>
    <w:rsid w:val="00636E20"/>
    <w:rsid w:val="0064031D"/>
    <w:rsid w:val="00641F69"/>
    <w:rsid w:val="00644083"/>
    <w:rsid w:val="006459AC"/>
    <w:rsid w:val="00646918"/>
    <w:rsid w:val="006474AD"/>
    <w:rsid w:val="00651556"/>
    <w:rsid w:val="0065196E"/>
    <w:rsid w:val="00654272"/>
    <w:rsid w:val="006555B6"/>
    <w:rsid w:val="00661806"/>
    <w:rsid w:val="006649A5"/>
    <w:rsid w:val="0066614D"/>
    <w:rsid w:val="0066691B"/>
    <w:rsid w:val="00666CF1"/>
    <w:rsid w:val="00667218"/>
    <w:rsid w:val="00667D70"/>
    <w:rsid w:val="00670FA1"/>
    <w:rsid w:val="00674115"/>
    <w:rsid w:val="0067418F"/>
    <w:rsid w:val="00675155"/>
    <w:rsid w:val="00680DFD"/>
    <w:rsid w:val="00682AA1"/>
    <w:rsid w:val="00684D18"/>
    <w:rsid w:val="006864A4"/>
    <w:rsid w:val="00692286"/>
    <w:rsid w:val="006932A8"/>
    <w:rsid w:val="006A4ECC"/>
    <w:rsid w:val="006A55C3"/>
    <w:rsid w:val="006B3D81"/>
    <w:rsid w:val="006B4DC2"/>
    <w:rsid w:val="006B716D"/>
    <w:rsid w:val="006C00B7"/>
    <w:rsid w:val="006C0B25"/>
    <w:rsid w:val="006C0D96"/>
    <w:rsid w:val="006C1D96"/>
    <w:rsid w:val="006C5F50"/>
    <w:rsid w:val="006C78A1"/>
    <w:rsid w:val="006D186A"/>
    <w:rsid w:val="006D386B"/>
    <w:rsid w:val="006D4146"/>
    <w:rsid w:val="006D4D75"/>
    <w:rsid w:val="006E1D24"/>
    <w:rsid w:val="006E3773"/>
    <w:rsid w:val="006E7582"/>
    <w:rsid w:val="006E7F61"/>
    <w:rsid w:val="006F05EC"/>
    <w:rsid w:val="006F1A5F"/>
    <w:rsid w:val="006F27B2"/>
    <w:rsid w:val="006F5248"/>
    <w:rsid w:val="006F7915"/>
    <w:rsid w:val="007007DD"/>
    <w:rsid w:val="00705208"/>
    <w:rsid w:val="0071016A"/>
    <w:rsid w:val="0071114D"/>
    <w:rsid w:val="0071222F"/>
    <w:rsid w:val="007138C8"/>
    <w:rsid w:val="00714A5E"/>
    <w:rsid w:val="007163E2"/>
    <w:rsid w:val="00721DC7"/>
    <w:rsid w:val="007236FC"/>
    <w:rsid w:val="00725E72"/>
    <w:rsid w:val="00730B6A"/>
    <w:rsid w:val="00731425"/>
    <w:rsid w:val="00732FF1"/>
    <w:rsid w:val="007352E1"/>
    <w:rsid w:val="00742174"/>
    <w:rsid w:val="0074327D"/>
    <w:rsid w:val="00745387"/>
    <w:rsid w:val="007471AE"/>
    <w:rsid w:val="00752623"/>
    <w:rsid w:val="0075306D"/>
    <w:rsid w:val="00753EA1"/>
    <w:rsid w:val="0076011B"/>
    <w:rsid w:val="00765118"/>
    <w:rsid w:val="00765C0F"/>
    <w:rsid w:val="00766853"/>
    <w:rsid w:val="007716AA"/>
    <w:rsid w:val="007725C8"/>
    <w:rsid w:val="00775176"/>
    <w:rsid w:val="00775817"/>
    <w:rsid w:val="00775D02"/>
    <w:rsid w:val="00776969"/>
    <w:rsid w:val="007802A5"/>
    <w:rsid w:val="007802F1"/>
    <w:rsid w:val="00781BDC"/>
    <w:rsid w:val="007852CE"/>
    <w:rsid w:val="00787112"/>
    <w:rsid w:val="00790B92"/>
    <w:rsid w:val="00792DE9"/>
    <w:rsid w:val="00793FE5"/>
    <w:rsid w:val="0079479D"/>
    <w:rsid w:val="00794C46"/>
    <w:rsid w:val="007965E7"/>
    <w:rsid w:val="00797015"/>
    <w:rsid w:val="007A3250"/>
    <w:rsid w:val="007A460D"/>
    <w:rsid w:val="007A559A"/>
    <w:rsid w:val="007A6570"/>
    <w:rsid w:val="007A6836"/>
    <w:rsid w:val="007A7C53"/>
    <w:rsid w:val="007A7D80"/>
    <w:rsid w:val="007B138D"/>
    <w:rsid w:val="007B2481"/>
    <w:rsid w:val="007B359F"/>
    <w:rsid w:val="007B3864"/>
    <w:rsid w:val="007C2A7F"/>
    <w:rsid w:val="007D0A7E"/>
    <w:rsid w:val="007D12E7"/>
    <w:rsid w:val="007D15B4"/>
    <w:rsid w:val="007D1733"/>
    <w:rsid w:val="007D7696"/>
    <w:rsid w:val="007E0745"/>
    <w:rsid w:val="007E131D"/>
    <w:rsid w:val="007E5CE8"/>
    <w:rsid w:val="007F1365"/>
    <w:rsid w:val="007F4480"/>
    <w:rsid w:val="007F69E9"/>
    <w:rsid w:val="00800891"/>
    <w:rsid w:val="00801320"/>
    <w:rsid w:val="0080201E"/>
    <w:rsid w:val="008024A7"/>
    <w:rsid w:val="00802BB0"/>
    <w:rsid w:val="00806300"/>
    <w:rsid w:val="008065C3"/>
    <w:rsid w:val="008139CC"/>
    <w:rsid w:val="00815461"/>
    <w:rsid w:val="00815DA4"/>
    <w:rsid w:val="00815E23"/>
    <w:rsid w:val="00820920"/>
    <w:rsid w:val="00820B1A"/>
    <w:rsid w:val="0082169E"/>
    <w:rsid w:val="0082613A"/>
    <w:rsid w:val="0082767B"/>
    <w:rsid w:val="008301C9"/>
    <w:rsid w:val="0083038D"/>
    <w:rsid w:val="0083145D"/>
    <w:rsid w:val="008345F2"/>
    <w:rsid w:val="0083551A"/>
    <w:rsid w:val="00836539"/>
    <w:rsid w:val="0083765E"/>
    <w:rsid w:val="0084370C"/>
    <w:rsid w:val="00843FDB"/>
    <w:rsid w:val="0084452B"/>
    <w:rsid w:val="008449F5"/>
    <w:rsid w:val="00846C4F"/>
    <w:rsid w:val="008471C7"/>
    <w:rsid w:val="008513B4"/>
    <w:rsid w:val="00852A22"/>
    <w:rsid w:val="00854399"/>
    <w:rsid w:val="008574D4"/>
    <w:rsid w:val="0086028B"/>
    <w:rsid w:val="00861C61"/>
    <w:rsid w:val="00863F0B"/>
    <w:rsid w:val="00866901"/>
    <w:rsid w:val="00870FA9"/>
    <w:rsid w:val="00873061"/>
    <w:rsid w:val="00875E31"/>
    <w:rsid w:val="008768D8"/>
    <w:rsid w:val="00876EC0"/>
    <w:rsid w:val="00882BC0"/>
    <w:rsid w:val="00883921"/>
    <w:rsid w:val="00885168"/>
    <w:rsid w:val="00886166"/>
    <w:rsid w:val="00890267"/>
    <w:rsid w:val="008909E4"/>
    <w:rsid w:val="00894A7B"/>
    <w:rsid w:val="008A0531"/>
    <w:rsid w:val="008A48B0"/>
    <w:rsid w:val="008A5837"/>
    <w:rsid w:val="008A64F7"/>
    <w:rsid w:val="008B1389"/>
    <w:rsid w:val="008B1BF4"/>
    <w:rsid w:val="008B27E7"/>
    <w:rsid w:val="008B54C6"/>
    <w:rsid w:val="008B6DCD"/>
    <w:rsid w:val="008C13C6"/>
    <w:rsid w:val="008C24B7"/>
    <w:rsid w:val="008C3146"/>
    <w:rsid w:val="008C4D3F"/>
    <w:rsid w:val="008C4D7F"/>
    <w:rsid w:val="008C57B8"/>
    <w:rsid w:val="008D27EA"/>
    <w:rsid w:val="008D4260"/>
    <w:rsid w:val="008D4D7E"/>
    <w:rsid w:val="008D71AF"/>
    <w:rsid w:val="008E2247"/>
    <w:rsid w:val="008E34FF"/>
    <w:rsid w:val="008E3FAB"/>
    <w:rsid w:val="008E519C"/>
    <w:rsid w:val="008E530D"/>
    <w:rsid w:val="008E5CC9"/>
    <w:rsid w:val="008F3DC8"/>
    <w:rsid w:val="008F7415"/>
    <w:rsid w:val="00900A0D"/>
    <w:rsid w:val="00900F6C"/>
    <w:rsid w:val="0090153B"/>
    <w:rsid w:val="00902D0B"/>
    <w:rsid w:val="00906AA3"/>
    <w:rsid w:val="00907976"/>
    <w:rsid w:val="00907B22"/>
    <w:rsid w:val="00907D3B"/>
    <w:rsid w:val="00911AC3"/>
    <w:rsid w:val="00917E31"/>
    <w:rsid w:val="00920B29"/>
    <w:rsid w:val="009212B6"/>
    <w:rsid w:val="009223E7"/>
    <w:rsid w:val="00924B59"/>
    <w:rsid w:val="00925B9C"/>
    <w:rsid w:val="00931821"/>
    <w:rsid w:val="00933C77"/>
    <w:rsid w:val="00934272"/>
    <w:rsid w:val="00934B6A"/>
    <w:rsid w:val="00936B6C"/>
    <w:rsid w:val="00936FA8"/>
    <w:rsid w:val="00937038"/>
    <w:rsid w:val="009411A2"/>
    <w:rsid w:val="009415F9"/>
    <w:rsid w:val="00944090"/>
    <w:rsid w:val="0094648E"/>
    <w:rsid w:val="00950874"/>
    <w:rsid w:val="00952F57"/>
    <w:rsid w:val="009549AE"/>
    <w:rsid w:val="0095596F"/>
    <w:rsid w:val="00957944"/>
    <w:rsid w:val="009647EC"/>
    <w:rsid w:val="00964B57"/>
    <w:rsid w:val="0096625E"/>
    <w:rsid w:val="00966D18"/>
    <w:rsid w:val="00967728"/>
    <w:rsid w:val="00967D67"/>
    <w:rsid w:val="00970C1F"/>
    <w:rsid w:val="00972AEA"/>
    <w:rsid w:val="009736CB"/>
    <w:rsid w:val="009738F3"/>
    <w:rsid w:val="00973DE3"/>
    <w:rsid w:val="00974BBC"/>
    <w:rsid w:val="0098071D"/>
    <w:rsid w:val="00982017"/>
    <w:rsid w:val="00982E3A"/>
    <w:rsid w:val="00983791"/>
    <w:rsid w:val="009837E9"/>
    <w:rsid w:val="00984E65"/>
    <w:rsid w:val="00985877"/>
    <w:rsid w:val="00992046"/>
    <w:rsid w:val="009926AA"/>
    <w:rsid w:val="00993C96"/>
    <w:rsid w:val="00995243"/>
    <w:rsid w:val="009A0872"/>
    <w:rsid w:val="009A2188"/>
    <w:rsid w:val="009A5CB7"/>
    <w:rsid w:val="009C0190"/>
    <w:rsid w:val="009C03E1"/>
    <w:rsid w:val="009C382B"/>
    <w:rsid w:val="009C435C"/>
    <w:rsid w:val="009C632E"/>
    <w:rsid w:val="009D26DB"/>
    <w:rsid w:val="009D4CBB"/>
    <w:rsid w:val="009D68AD"/>
    <w:rsid w:val="009E0F99"/>
    <w:rsid w:val="009E1600"/>
    <w:rsid w:val="009E5D68"/>
    <w:rsid w:val="009F33E3"/>
    <w:rsid w:val="009F71F4"/>
    <w:rsid w:val="009F734A"/>
    <w:rsid w:val="00A01B0B"/>
    <w:rsid w:val="00A03E2B"/>
    <w:rsid w:val="00A057C1"/>
    <w:rsid w:val="00A06710"/>
    <w:rsid w:val="00A068B2"/>
    <w:rsid w:val="00A102C7"/>
    <w:rsid w:val="00A14AF1"/>
    <w:rsid w:val="00A20380"/>
    <w:rsid w:val="00A2219C"/>
    <w:rsid w:val="00A23D60"/>
    <w:rsid w:val="00A30FCA"/>
    <w:rsid w:val="00A377B0"/>
    <w:rsid w:val="00A405DB"/>
    <w:rsid w:val="00A40E78"/>
    <w:rsid w:val="00A41C45"/>
    <w:rsid w:val="00A45279"/>
    <w:rsid w:val="00A45898"/>
    <w:rsid w:val="00A469C7"/>
    <w:rsid w:val="00A50BFB"/>
    <w:rsid w:val="00A516F0"/>
    <w:rsid w:val="00A51CEE"/>
    <w:rsid w:val="00A5242C"/>
    <w:rsid w:val="00A53942"/>
    <w:rsid w:val="00A57778"/>
    <w:rsid w:val="00A57EE3"/>
    <w:rsid w:val="00A61253"/>
    <w:rsid w:val="00A62629"/>
    <w:rsid w:val="00A63BBA"/>
    <w:rsid w:val="00A72984"/>
    <w:rsid w:val="00A73FE3"/>
    <w:rsid w:val="00A76C5F"/>
    <w:rsid w:val="00A76D8D"/>
    <w:rsid w:val="00A7731A"/>
    <w:rsid w:val="00A8157C"/>
    <w:rsid w:val="00A8188C"/>
    <w:rsid w:val="00A9072B"/>
    <w:rsid w:val="00A9248D"/>
    <w:rsid w:val="00A939D7"/>
    <w:rsid w:val="00A95682"/>
    <w:rsid w:val="00AA0124"/>
    <w:rsid w:val="00AA28C0"/>
    <w:rsid w:val="00AA3CD3"/>
    <w:rsid w:val="00AB0866"/>
    <w:rsid w:val="00AB14AC"/>
    <w:rsid w:val="00AB270B"/>
    <w:rsid w:val="00AB4786"/>
    <w:rsid w:val="00AB6539"/>
    <w:rsid w:val="00AB73AC"/>
    <w:rsid w:val="00AC08E1"/>
    <w:rsid w:val="00AC4A79"/>
    <w:rsid w:val="00AC51C3"/>
    <w:rsid w:val="00AC7CF9"/>
    <w:rsid w:val="00AD3009"/>
    <w:rsid w:val="00AD3C1F"/>
    <w:rsid w:val="00AD4A9A"/>
    <w:rsid w:val="00AE3F32"/>
    <w:rsid w:val="00AE7D82"/>
    <w:rsid w:val="00AF0581"/>
    <w:rsid w:val="00AF2234"/>
    <w:rsid w:val="00AF4AD8"/>
    <w:rsid w:val="00B00977"/>
    <w:rsid w:val="00B0098D"/>
    <w:rsid w:val="00B06159"/>
    <w:rsid w:val="00B061AE"/>
    <w:rsid w:val="00B061D0"/>
    <w:rsid w:val="00B11EC4"/>
    <w:rsid w:val="00B13A88"/>
    <w:rsid w:val="00B14776"/>
    <w:rsid w:val="00B14A3A"/>
    <w:rsid w:val="00B1560E"/>
    <w:rsid w:val="00B17550"/>
    <w:rsid w:val="00B200DA"/>
    <w:rsid w:val="00B2076F"/>
    <w:rsid w:val="00B22ABC"/>
    <w:rsid w:val="00B23B2B"/>
    <w:rsid w:val="00B25A6D"/>
    <w:rsid w:val="00B268C3"/>
    <w:rsid w:val="00B26EAD"/>
    <w:rsid w:val="00B36277"/>
    <w:rsid w:val="00B37D5E"/>
    <w:rsid w:val="00B402E4"/>
    <w:rsid w:val="00B40F9A"/>
    <w:rsid w:val="00B417AE"/>
    <w:rsid w:val="00B42E7C"/>
    <w:rsid w:val="00B46010"/>
    <w:rsid w:val="00B46747"/>
    <w:rsid w:val="00B475ED"/>
    <w:rsid w:val="00B51B1D"/>
    <w:rsid w:val="00B5304C"/>
    <w:rsid w:val="00B53BED"/>
    <w:rsid w:val="00B53E4E"/>
    <w:rsid w:val="00B555AB"/>
    <w:rsid w:val="00B555EA"/>
    <w:rsid w:val="00B558FB"/>
    <w:rsid w:val="00B605A1"/>
    <w:rsid w:val="00B60FA0"/>
    <w:rsid w:val="00B61041"/>
    <w:rsid w:val="00B64012"/>
    <w:rsid w:val="00B700A1"/>
    <w:rsid w:val="00B709A7"/>
    <w:rsid w:val="00B75E8B"/>
    <w:rsid w:val="00B76F1F"/>
    <w:rsid w:val="00B77117"/>
    <w:rsid w:val="00B7731B"/>
    <w:rsid w:val="00B8061B"/>
    <w:rsid w:val="00B81153"/>
    <w:rsid w:val="00B83E72"/>
    <w:rsid w:val="00B8410B"/>
    <w:rsid w:val="00B903C3"/>
    <w:rsid w:val="00B90978"/>
    <w:rsid w:val="00B9234C"/>
    <w:rsid w:val="00B9638B"/>
    <w:rsid w:val="00B96399"/>
    <w:rsid w:val="00B97E8F"/>
    <w:rsid w:val="00BA0662"/>
    <w:rsid w:val="00BA32FF"/>
    <w:rsid w:val="00BA50AC"/>
    <w:rsid w:val="00BA609D"/>
    <w:rsid w:val="00BA69C7"/>
    <w:rsid w:val="00BB0812"/>
    <w:rsid w:val="00BB188E"/>
    <w:rsid w:val="00BB6230"/>
    <w:rsid w:val="00BC2704"/>
    <w:rsid w:val="00BC29BA"/>
    <w:rsid w:val="00BC6808"/>
    <w:rsid w:val="00BC7161"/>
    <w:rsid w:val="00BC761B"/>
    <w:rsid w:val="00BD19F8"/>
    <w:rsid w:val="00BD4F07"/>
    <w:rsid w:val="00BD5110"/>
    <w:rsid w:val="00BD6AB0"/>
    <w:rsid w:val="00BD70D1"/>
    <w:rsid w:val="00BE2001"/>
    <w:rsid w:val="00BE20B8"/>
    <w:rsid w:val="00BE25E7"/>
    <w:rsid w:val="00BE339F"/>
    <w:rsid w:val="00BE79D9"/>
    <w:rsid w:val="00BF04DA"/>
    <w:rsid w:val="00BF1227"/>
    <w:rsid w:val="00BF12AA"/>
    <w:rsid w:val="00BF2105"/>
    <w:rsid w:val="00BF66C1"/>
    <w:rsid w:val="00BF671D"/>
    <w:rsid w:val="00BF7AC0"/>
    <w:rsid w:val="00C01B45"/>
    <w:rsid w:val="00C01C62"/>
    <w:rsid w:val="00C02514"/>
    <w:rsid w:val="00C07293"/>
    <w:rsid w:val="00C10CDB"/>
    <w:rsid w:val="00C110CF"/>
    <w:rsid w:val="00C1411D"/>
    <w:rsid w:val="00C1458A"/>
    <w:rsid w:val="00C1674A"/>
    <w:rsid w:val="00C20F05"/>
    <w:rsid w:val="00C2401F"/>
    <w:rsid w:val="00C25164"/>
    <w:rsid w:val="00C27789"/>
    <w:rsid w:val="00C31E72"/>
    <w:rsid w:val="00C32F1A"/>
    <w:rsid w:val="00C334C2"/>
    <w:rsid w:val="00C342E0"/>
    <w:rsid w:val="00C34DD3"/>
    <w:rsid w:val="00C350E6"/>
    <w:rsid w:val="00C36771"/>
    <w:rsid w:val="00C3703C"/>
    <w:rsid w:val="00C46E23"/>
    <w:rsid w:val="00C479A8"/>
    <w:rsid w:val="00C50B03"/>
    <w:rsid w:val="00C51815"/>
    <w:rsid w:val="00C5484B"/>
    <w:rsid w:val="00C5540A"/>
    <w:rsid w:val="00C56E4D"/>
    <w:rsid w:val="00C57453"/>
    <w:rsid w:val="00C62D1C"/>
    <w:rsid w:val="00C64C1E"/>
    <w:rsid w:val="00C6738A"/>
    <w:rsid w:val="00C67894"/>
    <w:rsid w:val="00C70A6D"/>
    <w:rsid w:val="00C70E51"/>
    <w:rsid w:val="00C71AC6"/>
    <w:rsid w:val="00C74199"/>
    <w:rsid w:val="00C74F09"/>
    <w:rsid w:val="00C773C5"/>
    <w:rsid w:val="00C863E0"/>
    <w:rsid w:val="00C97128"/>
    <w:rsid w:val="00C97345"/>
    <w:rsid w:val="00CA421F"/>
    <w:rsid w:val="00CA5A1A"/>
    <w:rsid w:val="00CA5EBE"/>
    <w:rsid w:val="00CA603D"/>
    <w:rsid w:val="00CA6374"/>
    <w:rsid w:val="00CB12C8"/>
    <w:rsid w:val="00CB1333"/>
    <w:rsid w:val="00CB20B9"/>
    <w:rsid w:val="00CC1078"/>
    <w:rsid w:val="00CC18AB"/>
    <w:rsid w:val="00CC7D4B"/>
    <w:rsid w:val="00CC7F5C"/>
    <w:rsid w:val="00CD09DE"/>
    <w:rsid w:val="00CD1192"/>
    <w:rsid w:val="00CD6280"/>
    <w:rsid w:val="00CE13B4"/>
    <w:rsid w:val="00CE2C8A"/>
    <w:rsid w:val="00CE2DA8"/>
    <w:rsid w:val="00CE41FE"/>
    <w:rsid w:val="00CE7106"/>
    <w:rsid w:val="00CF188A"/>
    <w:rsid w:val="00CF769A"/>
    <w:rsid w:val="00D04150"/>
    <w:rsid w:val="00D055A4"/>
    <w:rsid w:val="00D060AC"/>
    <w:rsid w:val="00D07E7C"/>
    <w:rsid w:val="00D10413"/>
    <w:rsid w:val="00D10AEF"/>
    <w:rsid w:val="00D12675"/>
    <w:rsid w:val="00D13236"/>
    <w:rsid w:val="00D155E9"/>
    <w:rsid w:val="00D20CA8"/>
    <w:rsid w:val="00D24EC6"/>
    <w:rsid w:val="00D251CB"/>
    <w:rsid w:val="00D30957"/>
    <w:rsid w:val="00D31FE8"/>
    <w:rsid w:val="00D32AFA"/>
    <w:rsid w:val="00D36BC3"/>
    <w:rsid w:val="00D41968"/>
    <w:rsid w:val="00D434F1"/>
    <w:rsid w:val="00D47402"/>
    <w:rsid w:val="00D5125D"/>
    <w:rsid w:val="00D543B0"/>
    <w:rsid w:val="00D54946"/>
    <w:rsid w:val="00D54EF8"/>
    <w:rsid w:val="00D60367"/>
    <w:rsid w:val="00D61711"/>
    <w:rsid w:val="00D62033"/>
    <w:rsid w:val="00D63DC6"/>
    <w:rsid w:val="00D64BB6"/>
    <w:rsid w:val="00D66DF2"/>
    <w:rsid w:val="00D71578"/>
    <w:rsid w:val="00D804A9"/>
    <w:rsid w:val="00D83A01"/>
    <w:rsid w:val="00D843CA"/>
    <w:rsid w:val="00D84F5F"/>
    <w:rsid w:val="00D85E5A"/>
    <w:rsid w:val="00D8686B"/>
    <w:rsid w:val="00D90220"/>
    <w:rsid w:val="00D94764"/>
    <w:rsid w:val="00D95630"/>
    <w:rsid w:val="00D96D51"/>
    <w:rsid w:val="00D96F8C"/>
    <w:rsid w:val="00D97C0E"/>
    <w:rsid w:val="00DA3336"/>
    <w:rsid w:val="00DB1F07"/>
    <w:rsid w:val="00DB3FC6"/>
    <w:rsid w:val="00DB5C9E"/>
    <w:rsid w:val="00DC0548"/>
    <w:rsid w:val="00DC4435"/>
    <w:rsid w:val="00DC6E85"/>
    <w:rsid w:val="00DC73A3"/>
    <w:rsid w:val="00DD643A"/>
    <w:rsid w:val="00DE0B72"/>
    <w:rsid w:val="00DE0FA6"/>
    <w:rsid w:val="00DE158C"/>
    <w:rsid w:val="00DE2170"/>
    <w:rsid w:val="00DE29E5"/>
    <w:rsid w:val="00DF0E7B"/>
    <w:rsid w:val="00DF104C"/>
    <w:rsid w:val="00DF226B"/>
    <w:rsid w:val="00DF4906"/>
    <w:rsid w:val="00DF668B"/>
    <w:rsid w:val="00E00E24"/>
    <w:rsid w:val="00E0560B"/>
    <w:rsid w:val="00E10302"/>
    <w:rsid w:val="00E151FE"/>
    <w:rsid w:val="00E20994"/>
    <w:rsid w:val="00E22566"/>
    <w:rsid w:val="00E23567"/>
    <w:rsid w:val="00E2376C"/>
    <w:rsid w:val="00E25970"/>
    <w:rsid w:val="00E30368"/>
    <w:rsid w:val="00E30643"/>
    <w:rsid w:val="00E31BC4"/>
    <w:rsid w:val="00E32A71"/>
    <w:rsid w:val="00E343A9"/>
    <w:rsid w:val="00E35A97"/>
    <w:rsid w:val="00E36600"/>
    <w:rsid w:val="00E378A2"/>
    <w:rsid w:val="00E4000F"/>
    <w:rsid w:val="00E41EDD"/>
    <w:rsid w:val="00E4307B"/>
    <w:rsid w:val="00E43F7D"/>
    <w:rsid w:val="00E46B17"/>
    <w:rsid w:val="00E475EA"/>
    <w:rsid w:val="00E52C41"/>
    <w:rsid w:val="00E5591F"/>
    <w:rsid w:val="00E55BAD"/>
    <w:rsid w:val="00E56741"/>
    <w:rsid w:val="00E56752"/>
    <w:rsid w:val="00E56B19"/>
    <w:rsid w:val="00E604B5"/>
    <w:rsid w:val="00E605EA"/>
    <w:rsid w:val="00E61746"/>
    <w:rsid w:val="00E65C19"/>
    <w:rsid w:val="00E6607B"/>
    <w:rsid w:val="00E708CD"/>
    <w:rsid w:val="00E75C5C"/>
    <w:rsid w:val="00E806E8"/>
    <w:rsid w:val="00E8149B"/>
    <w:rsid w:val="00E81622"/>
    <w:rsid w:val="00E83E22"/>
    <w:rsid w:val="00E85096"/>
    <w:rsid w:val="00E916E3"/>
    <w:rsid w:val="00E932C0"/>
    <w:rsid w:val="00E93D8D"/>
    <w:rsid w:val="00E953FC"/>
    <w:rsid w:val="00E95626"/>
    <w:rsid w:val="00EA1339"/>
    <w:rsid w:val="00EA2667"/>
    <w:rsid w:val="00EB40BE"/>
    <w:rsid w:val="00EB4C57"/>
    <w:rsid w:val="00EB7A0E"/>
    <w:rsid w:val="00EC0078"/>
    <w:rsid w:val="00EC0153"/>
    <w:rsid w:val="00EC11FC"/>
    <w:rsid w:val="00EC348E"/>
    <w:rsid w:val="00EC4596"/>
    <w:rsid w:val="00ED2042"/>
    <w:rsid w:val="00ED2F6B"/>
    <w:rsid w:val="00ED398F"/>
    <w:rsid w:val="00ED4C52"/>
    <w:rsid w:val="00ED74AE"/>
    <w:rsid w:val="00ED768F"/>
    <w:rsid w:val="00EE0B02"/>
    <w:rsid w:val="00EE1966"/>
    <w:rsid w:val="00EE1FF4"/>
    <w:rsid w:val="00EE20B3"/>
    <w:rsid w:val="00EE229B"/>
    <w:rsid w:val="00EE47E7"/>
    <w:rsid w:val="00EE4B06"/>
    <w:rsid w:val="00EE5D19"/>
    <w:rsid w:val="00EF2553"/>
    <w:rsid w:val="00EF6178"/>
    <w:rsid w:val="00EF6401"/>
    <w:rsid w:val="00EF6DAD"/>
    <w:rsid w:val="00EF7BD9"/>
    <w:rsid w:val="00F01246"/>
    <w:rsid w:val="00F036EE"/>
    <w:rsid w:val="00F04D7A"/>
    <w:rsid w:val="00F07FA8"/>
    <w:rsid w:val="00F105ED"/>
    <w:rsid w:val="00F14CEE"/>
    <w:rsid w:val="00F211D3"/>
    <w:rsid w:val="00F2222B"/>
    <w:rsid w:val="00F22D94"/>
    <w:rsid w:val="00F246E9"/>
    <w:rsid w:val="00F26A48"/>
    <w:rsid w:val="00F26A7B"/>
    <w:rsid w:val="00F34712"/>
    <w:rsid w:val="00F34A60"/>
    <w:rsid w:val="00F34EA7"/>
    <w:rsid w:val="00F37CCF"/>
    <w:rsid w:val="00F431E9"/>
    <w:rsid w:val="00F44DAD"/>
    <w:rsid w:val="00F45F01"/>
    <w:rsid w:val="00F47065"/>
    <w:rsid w:val="00F5246F"/>
    <w:rsid w:val="00F5660A"/>
    <w:rsid w:val="00F56870"/>
    <w:rsid w:val="00F56E6F"/>
    <w:rsid w:val="00F57AF2"/>
    <w:rsid w:val="00F61B6B"/>
    <w:rsid w:val="00F629D8"/>
    <w:rsid w:val="00F629E7"/>
    <w:rsid w:val="00F63E92"/>
    <w:rsid w:val="00F67ABA"/>
    <w:rsid w:val="00F73BA0"/>
    <w:rsid w:val="00F7529B"/>
    <w:rsid w:val="00F752F3"/>
    <w:rsid w:val="00F75778"/>
    <w:rsid w:val="00F7780E"/>
    <w:rsid w:val="00F86FB7"/>
    <w:rsid w:val="00F904CC"/>
    <w:rsid w:val="00F90723"/>
    <w:rsid w:val="00F92C17"/>
    <w:rsid w:val="00F9428B"/>
    <w:rsid w:val="00F94838"/>
    <w:rsid w:val="00F94A18"/>
    <w:rsid w:val="00F95478"/>
    <w:rsid w:val="00F97810"/>
    <w:rsid w:val="00FA1491"/>
    <w:rsid w:val="00FA1872"/>
    <w:rsid w:val="00FA2BB7"/>
    <w:rsid w:val="00FB3818"/>
    <w:rsid w:val="00FB523D"/>
    <w:rsid w:val="00FB5392"/>
    <w:rsid w:val="00FB6E15"/>
    <w:rsid w:val="00FC2E1E"/>
    <w:rsid w:val="00FC34E2"/>
    <w:rsid w:val="00FD083F"/>
    <w:rsid w:val="00FD18D0"/>
    <w:rsid w:val="00FD4F55"/>
    <w:rsid w:val="00FE2419"/>
    <w:rsid w:val="00FE335B"/>
    <w:rsid w:val="00FE39B0"/>
    <w:rsid w:val="00FE3B80"/>
    <w:rsid w:val="00FE4847"/>
    <w:rsid w:val="00FE64D6"/>
    <w:rsid w:val="00FF3F16"/>
    <w:rsid w:val="00FF4969"/>
    <w:rsid w:val="00FF58A8"/>
    <w:rsid w:val="00FF764E"/>
    <w:rsid w:val="01720846"/>
    <w:rsid w:val="01F338D0"/>
    <w:rsid w:val="021D6053"/>
    <w:rsid w:val="0311639F"/>
    <w:rsid w:val="0335030D"/>
    <w:rsid w:val="03C8198F"/>
    <w:rsid w:val="03D76905"/>
    <w:rsid w:val="03E86CAA"/>
    <w:rsid w:val="04387733"/>
    <w:rsid w:val="04830288"/>
    <w:rsid w:val="048B3CE6"/>
    <w:rsid w:val="054C0663"/>
    <w:rsid w:val="056258C3"/>
    <w:rsid w:val="05CF39AE"/>
    <w:rsid w:val="061E06DE"/>
    <w:rsid w:val="0650743D"/>
    <w:rsid w:val="06F512A8"/>
    <w:rsid w:val="077527A3"/>
    <w:rsid w:val="07977BCA"/>
    <w:rsid w:val="08701807"/>
    <w:rsid w:val="087D2232"/>
    <w:rsid w:val="08A77797"/>
    <w:rsid w:val="08B43D54"/>
    <w:rsid w:val="08BA225E"/>
    <w:rsid w:val="09532244"/>
    <w:rsid w:val="09D05D77"/>
    <w:rsid w:val="09E8190C"/>
    <w:rsid w:val="0A05708C"/>
    <w:rsid w:val="0AA76A14"/>
    <w:rsid w:val="0AB411B5"/>
    <w:rsid w:val="0B142D32"/>
    <w:rsid w:val="0B170883"/>
    <w:rsid w:val="0B78367F"/>
    <w:rsid w:val="0B942E49"/>
    <w:rsid w:val="0CA84E7C"/>
    <w:rsid w:val="0CCD1228"/>
    <w:rsid w:val="0CF7349B"/>
    <w:rsid w:val="0CFC099D"/>
    <w:rsid w:val="0D3A687B"/>
    <w:rsid w:val="0D485220"/>
    <w:rsid w:val="0D986C14"/>
    <w:rsid w:val="0DEA52C6"/>
    <w:rsid w:val="0E105A66"/>
    <w:rsid w:val="0EBB456F"/>
    <w:rsid w:val="0ECE6352"/>
    <w:rsid w:val="0F07316C"/>
    <w:rsid w:val="0F2E7983"/>
    <w:rsid w:val="0F832038"/>
    <w:rsid w:val="0FAE4C66"/>
    <w:rsid w:val="1061694B"/>
    <w:rsid w:val="10884937"/>
    <w:rsid w:val="1146060A"/>
    <w:rsid w:val="11941873"/>
    <w:rsid w:val="11990AA8"/>
    <w:rsid w:val="11B33109"/>
    <w:rsid w:val="121F5B77"/>
    <w:rsid w:val="12257F2C"/>
    <w:rsid w:val="1231384A"/>
    <w:rsid w:val="125F1D05"/>
    <w:rsid w:val="12740451"/>
    <w:rsid w:val="12BE29E7"/>
    <w:rsid w:val="12C85F8E"/>
    <w:rsid w:val="139820B9"/>
    <w:rsid w:val="13EF24C3"/>
    <w:rsid w:val="141C6B18"/>
    <w:rsid w:val="144C2E4F"/>
    <w:rsid w:val="148E789A"/>
    <w:rsid w:val="15154F85"/>
    <w:rsid w:val="15707D09"/>
    <w:rsid w:val="158B439D"/>
    <w:rsid w:val="158C7EC9"/>
    <w:rsid w:val="15B02999"/>
    <w:rsid w:val="16225839"/>
    <w:rsid w:val="163C28B8"/>
    <w:rsid w:val="168C424D"/>
    <w:rsid w:val="16D30A0E"/>
    <w:rsid w:val="171A2A9D"/>
    <w:rsid w:val="17274493"/>
    <w:rsid w:val="178C48BC"/>
    <w:rsid w:val="17A021C9"/>
    <w:rsid w:val="17A43CA0"/>
    <w:rsid w:val="17C67F55"/>
    <w:rsid w:val="17CC5B22"/>
    <w:rsid w:val="182855DF"/>
    <w:rsid w:val="185A33B9"/>
    <w:rsid w:val="18B54697"/>
    <w:rsid w:val="1905278E"/>
    <w:rsid w:val="19424CD4"/>
    <w:rsid w:val="194C59C3"/>
    <w:rsid w:val="199061DD"/>
    <w:rsid w:val="19C4300A"/>
    <w:rsid w:val="19FE51B3"/>
    <w:rsid w:val="1AA77521"/>
    <w:rsid w:val="1B012F1A"/>
    <w:rsid w:val="1BA51044"/>
    <w:rsid w:val="1BAA124E"/>
    <w:rsid w:val="1BB574E1"/>
    <w:rsid w:val="1BE212EF"/>
    <w:rsid w:val="1C445CEA"/>
    <w:rsid w:val="1C7675E7"/>
    <w:rsid w:val="1DD044A7"/>
    <w:rsid w:val="1E541DFA"/>
    <w:rsid w:val="1E687B91"/>
    <w:rsid w:val="1F613C0F"/>
    <w:rsid w:val="1F731D43"/>
    <w:rsid w:val="1F825AA2"/>
    <w:rsid w:val="1F891D27"/>
    <w:rsid w:val="1FC54F08"/>
    <w:rsid w:val="1FE84781"/>
    <w:rsid w:val="1FF05C4E"/>
    <w:rsid w:val="1FF23E01"/>
    <w:rsid w:val="20516B4B"/>
    <w:rsid w:val="213251E0"/>
    <w:rsid w:val="21802D41"/>
    <w:rsid w:val="2198762F"/>
    <w:rsid w:val="21A22ECC"/>
    <w:rsid w:val="21C06449"/>
    <w:rsid w:val="22263386"/>
    <w:rsid w:val="22A51845"/>
    <w:rsid w:val="23AB20DF"/>
    <w:rsid w:val="24FA6CDB"/>
    <w:rsid w:val="25214A1A"/>
    <w:rsid w:val="25E2296E"/>
    <w:rsid w:val="25E46B3B"/>
    <w:rsid w:val="27324A62"/>
    <w:rsid w:val="2743403B"/>
    <w:rsid w:val="28174CCC"/>
    <w:rsid w:val="284A7F7B"/>
    <w:rsid w:val="284B7A5C"/>
    <w:rsid w:val="28584DFA"/>
    <w:rsid w:val="28A121B4"/>
    <w:rsid w:val="28A24774"/>
    <w:rsid w:val="28CB0801"/>
    <w:rsid w:val="29063B94"/>
    <w:rsid w:val="29226DA2"/>
    <w:rsid w:val="299270A1"/>
    <w:rsid w:val="29D321A9"/>
    <w:rsid w:val="2A166586"/>
    <w:rsid w:val="2A4F5BBB"/>
    <w:rsid w:val="2AB6697A"/>
    <w:rsid w:val="2AEF79E5"/>
    <w:rsid w:val="2B6A40C5"/>
    <w:rsid w:val="2BC73A1B"/>
    <w:rsid w:val="2BE10A4C"/>
    <w:rsid w:val="2BED1B81"/>
    <w:rsid w:val="2C3A5935"/>
    <w:rsid w:val="2C4C315F"/>
    <w:rsid w:val="2CE0798F"/>
    <w:rsid w:val="2DB50A35"/>
    <w:rsid w:val="2DC9542D"/>
    <w:rsid w:val="2DE7284B"/>
    <w:rsid w:val="2E492682"/>
    <w:rsid w:val="2EA64119"/>
    <w:rsid w:val="2F3F25AB"/>
    <w:rsid w:val="2F986DBE"/>
    <w:rsid w:val="2FFF27F1"/>
    <w:rsid w:val="303C28DD"/>
    <w:rsid w:val="305D7761"/>
    <w:rsid w:val="30DF224A"/>
    <w:rsid w:val="31027ADA"/>
    <w:rsid w:val="31206DA7"/>
    <w:rsid w:val="31B2197F"/>
    <w:rsid w:val="31F87A16"/>
    <w:rsid w:val="325759AA"/>
    <w:rsid w:val="326167C0"/>
    <w:rsid w:val="326E3E64"/>
    <w:rsid w:val="32D47446"/>
    <w:rsid w:val="32DB6EB3"/>
    <w:rsid w:val="333F7997"/>
    <w:rsid w:val="334511DA"/>
    <w:rsid w:val="3400576F"/>
    <w:rsid w:val="34BE566A"/>
    <w:rsid w:val="351B782A"/>
    <w:rsid w:val="351E29FE"/>
    <w:rsid w:val="353A499F"/>
    <w:rsid w:val="356335D0"/>
    <w:rsid w:val="35683A6F"/>
    <w:rsid w:val="357D50A4"/>
    <w:rsid w:val="35C9282B"/>
    <w:rsid w:val="361F270E"/>
    <w:rsid w:val="36FC139F"/>
    <w:rsid w:val="37935030"/>
    <w:rsid w:val="37EC2992"/>
    <w:rsid w:val="389C2431"/>
    <w:rsid w:val="38AF27E3"/>
    <w:rsid w:val="38E225BE"/>
    <w:rsid w:val="391A237E"/>
    <w:rsid w:val="391C1F52"/>
    <w:rsid w:val="394A5C06"/>
    <w:rsid w:val="39890A4F"/>
    <w:rsid w:val="39A41B7B"/>
    <w:rsid w:val="3A205B59"/>
    <w:rsid w:val="3A3D0EC2"/>
    <w:rsid w:val="3AE8077E"/>
    <w:rsid w:val="3B2B5280"/>
    <w:rsid w:val="3C8617DC"/>
    <w:rsid w:val="3CBC183E"/>
    <w:rsid w:val="3CCB6333"/>
    <w:rsid w:val="3CD660F7"/>
    <w:rsid w:val="3D651065"/>
    <w:rsid w:val="3DCD0B5F"/>
    <w:rsid w:val="3DF231AE"/>
    <w:rsid w:val="3E1E377B"/>
    <w:rsid w:val="3E257517"/>
    <w:rsid w:val="3E36563F"/>
    <w:rsid w:val="3EFA6B34"/>
    <w:rsid w:val="3F6D1D6C"/>
    <w:rsid w:val="3F941AE6"/>
    <w:rsid w:val="3F9A7206"/>
    <w:rsid w:val="3FB04657"/>
    <w:rsid w:val="406E0BBB"/>
    <w:rsid w:val="40720C9E"/>
    <w:rsid w:val="413D5E70"/>
    <w:rsid w:val="416429CC"/>
    <w:rsid w:val="416D01EA"/>
    <w:rsid w:val="41C46BF1"/>
    <w:rsid w:val="41E55159"/>
    <w:rsid w:val="427E3268"/>
    <w:rsid w:val="42857CF5"/>
    <w:rsid w:val="435B7B1C"/>
    <w:rsid w:val="435E7D7C"/>
    <w:rsid w:val="43A92906"/>
    <w:rsid w:val="4451620A"/>
    <w:rsid w:val="449A7B74"/>
    <w:rsid w:val="44E807E6"/>
    <w:rsid w:val="451251F4"/>
    <w:rsid w:val="454B6FEA"/>
    <w:rsid w:val="456B0B2A"/>
    <w:rsid w:val="45787A99"/>
    <w:rsid w:val="45D649C3"/>
    <w:rsid w:val="462C106C"/>
    <w:rsid w:val="466F27BA"/>
    <w:rsid w:val="46DC6F13"/>
    <w:rsid w:val="46DF0829"/>
    <w:rsid w:val="47106518"/>
    <w:rsid w:val="47980D8B"/>
    <w:rsid w:val="47C55814"/>
    <w:rsid w:val="48671C48"/>
    <w:rsid w:val="49BD70C4"/>
    <w:rsid w:val="4B820DBA"/>
    <w:rsid w:val="4B8F6D04"/>
    <w:rsid w:val="4B91086A"/>
    <w:rsid w:val="4BA74A8D"/>
    <w:rsid w:val="4BAD07BF"/>
    <w:rsid w:val="4BDE3817"/>
    <w:rsid w:val="4BFD73F2"/>
    <w:rsid w:val="4C0D6CBA"/>
    <w:rsid w:val="4C4012A5"/>
    <w:rsid w:val="4D631741"/>
    <w:rsid w:val="4D653DF0"/>
    <w:rsid w:val="4D89622B"/>
    <w:rsid w:val="4DB42A79"/>
    <w:rsid w:val="4E022025"/>
    <w:rsid w:val="4E56502B"/>
    <w:rsid w:val="4E79685B"/>
    <w:rsid w:val="4F4152F7"/>
    <w:rsid w:val="4F756FF3"/>
    <w:rsid w:val="4F994245"/>
    <w:rsid w:val="4FF92FE6"/>
    <w:rsid w:val="4FFE0B87"/>
    <w:rsid w:val="50294EBF"/>
    <w:rsid w:val="508A6AF6"/>
    <w:rsid w:val="513E37D4"/>
    <w:rsid w:val="51433BAF"/>
    <w:rsid w:val="5168376C"/>
    <w:rsid w:val="516A5B0D"/>
    <w:rsid w:val="51B763C7"/>
    <w:rsid w:val="51BE176D"/>
    <w:rsid w:val="51DF1966"/>
    <w:rsid w:val="52BB1A05"/>
    <w:rsid w:val="52F513BC"/>
    <w:rsid w:val="53315CC0"/>
    <w:rsid w:val="53722A80"/>
    <w:rsid w:val="537D38E0"/>
    <w:rsid w:val="53D07DBD"/>
    <w:rsid w:val="54242A12"/>
    <w:rsid w:val="54383D0C"/>
    <w:rsid w:val="54FD38EC"/>
    <w:rsid w:val="54FF2235"/>
    <w:rsid w:val="55157498"/>
    <w:rsid w:val="551E4144"/>
    <w:rsid w:val="552F11A1"/>
    <w:rsid w:val="55583B15"/>
    <w:rsid w:val="55644655"/>
    <w:rsid w:val="557B2E7B"/>
    <w:rsid w:val="55875D57"/>
    <w:rsid w:val="55FE0240"/>
    <w:rsid w:val="561020ED"/>
    <w:rsid w:val="568C2A25"/>
    <w:rsid w:val="56BB23F6"/>
    <w:rsid w:val="56D53107"/>
    <w:rsid w:val="576E7A68"/>
    <w:rsid w:val="57916712"/>
    <w:rsid w:val="57F82FD0"/>
    <w:rsid w:val="57FF2F88"/>
    <w:rsid w:val="58282646"/>
    <w:rsid w:val="584A2CBF"/>
    <w:rsid w:val="58541D64"/>
    <w:rsid w:val="58756370"/>
    <w:rsid w:val="589A77AF"/>
    <w:rsid w:val="58A41FC0"/>
    <w:rsid w:val="58DD5856"/>
    <w:rsid w:val="58E124B4"/>
    <w:rsid w:val="58F12E3D"/>
    <w:rsid w:val="59B92785"/>
    <w:rsid w:val="5A603900"/>
    <w:rsid w:val="5A8048B3"/>
    <w:rsid w:val="5ABD696D"/>
    <w:rsid w:val="5AD62596"/>
    <w:rsid w:val="5CB726D7"/>
    <w:rsid w:val="5CEC6741"/>
    <w:rsid w:val="5D0639C1"/>
    <w:rsid w:val="5D2F5988"/>
    <w:rsid w:val="5D5123CA"/>
    <w:rsid w:val="5D81754A"/>
    <w:rsid w:val="5D854F45"/>
    <w:rsid w:val="5E052726"/>
    <w:rsid w:val="5E141FF5"/>
    <w:rsid w:val="5E5F2C84"/>
    <w:rsid w:val="5E662DAF"/>
    <w:rsid w:val="5E7B38EA"/>
    <w:rsid w:val="5E8D513D"/>
    <w:rsid w:val="5EA12D40"/>
    <w:rsid w:val="5F0F7A5D"/>
    <w:rsid w:val="5FC6667E"/>
    <w:rsid w:val="5FD3221D"/>
    <w:rsid w:val="60156625"/>
    <w:rsid w:val="60C73BDD"/>
    <w:rsid w:val="60CB766D"/>
    <w:rsid w:val="61423947"/>
    <w:rsid w:val="61DF7E12"/>
    <w:rsid w:val="61FC7D6D"/>
    <w:rsid w:val="621B125F"/>
    <w:rsid w:val="6245543B"/>
    <w:rsid w:val="628C4BF5"/>
    <w:rsid w:val="62B44E4F"/>
    <w:rsid w:val="62CF59F1"/>
    <w:rsid w:val="63286AB1"/>
    <w:rsid w:val="63C43F4E"/>
    <w:rsid w:val="64224962"/>
    <w:rsid w:val="64624F6A"/>
    <w:rsid w:val="64717496"/>
    <w:rsid w:val="64773FCA"/>
    <w:rsid w:val="64DD2699"/>
    <w:rsid w:val="64EE658A"/>
    <w:rsid w:val="65B351B0"/>
    <w:rsid w:val="65FA0BDC"/>
    <w:rsid w:val="65FD2BD7"/>
    <w:rsid w:val="66702010"/>
    <w:rsid w:val="66866E5C"/>
    <w:rsid w:val="66D52A01"/>
    <w:rsid w:val="67005973"/>
    <w:rsid w:val="688E5C83"/>
    <w:rsid w:val="68B2421E"/>
    <w:rsid w:val="68D016EA"/>
    <w:rsid w:val="68D410CE"/>
    <w:rsid w:val="68E46E97"/>
    <w:rsid w:val="68F4141C"/>
    <w:rsid w:val="69547171"/>
    <w:rsid w:val="6994281F"/>
    <w:rsid w:val="6A17095D"/>
    <w:rsid w:val="6A3C36AF"/>
    <w:rsid w:val="6A443DE4"/>
    <w:rsid w:val="6A815F12"/>
    <w:rsid w:val="6AD36E1B"/>
    <w:rsid w:val="6C120F39"/>
    <w:rsid w:val="6C72431E"/>
    <w:rsid w:val="6CC72D64"/>
    <w:rsid w:val="6CED2D76"/>
    <w:rsid w:val="6D187F3F"/>
    <w:rsid w:val="6D896248"/>
    <w:rsid w:val="6D90003E"/>
    <w:rsid w:val="6DA90E51"/>
    <w:rsid w:val="6DF1222A"/>
    <w:rsid w:val="6E411B24"/>
    <w:rsid w:val="6E5B578C"/>
    <w:rsid w:val="6E9F3D82"/>
    <w:rsid w:val="6ED456E6"/>
    <w:rsid w:val="6F8E70D9"/>
    <w:rsid w:val="6F912BB9"/>
    <w:rsid w:val="6FA07797"/>
    <w:rsid w:val="6FC85479"/>
    <w:rsid w:val="705C3CE1"/>
    <w:rsid w:val="708962EF"/>
    <w:rsid w:val="70B851BA"/>
    <w:rsid w:val="70C10D47"/>
    <w:rsid w:val="70D41A10"/>
    <w:rsid w:val="71D66A7A"/>
    <w:rsid w:val="724D6D09"/>
    <w:rsid w:val="72926F7D"/>
    <w:rsid w:val="72AF1F9D"/>
    <w:rsid w:val="72D7167D"/>
    <w:rsid w:val="72E46749"/>
    <w:rsid w:val="731E6F12"/>
    <w:rsid w:val="732D245B"/>
    <w:rsid w:val="7366665B"/>
    <w:rsid w:val="73960AA1"/>
    <w:rsid w:val="73CF1977"/>
    <w:rsid w:val="73ED41E4"/>
    <w:rsid w:val="74561FB2"/>
    <w:rsid w:val="74F27C2C"/>
    <w:rsid w:val="751A53CE"/>
    <w:rsid w:val="7558031B"/>
    <w:rsid w:val="765976E7"/>
    <w:rsid w:val="7708462E"/>
    <w:rsid w:val="777D607A"/>
    <w:rsid w:val="778564C2"/>
    <w:rsid w:val="77930874"/>
    <w:rsid w:val="77C475D9"/>
    <w:rsid w:val="77F97374"/>
    <w:rsid w:val="782636B8"/>
    <w:rsid w:val="78671FAD"/>
    <w:rsid w:val="78984382"/>
    <w:rsid w:val="78AD74F2"/>
    <w:rsid w:val="7A177400"/>
    <w:rsid w:val="7A2144A5"/>
    <w:rsid w:val="7A234EDA"/>
    <w:rsid w:val="7A414A62"/>
    <w:rsid w:val="7B1E1D39"/>
    <w:rsid w:val="7C08098C"/>
    <w:rsid w:val="7C460A16"/>
    <w:rsid w:val="7C667EE7"/>
    <w:rsid w:val="7C683570"/>
    <w:rsid w:val="7CAB12FE"/>
    <w:rsid w:val="7CDB325E"/>
    <w:rsid w:val="7D180BA0"/>
    <w:rsid w:val="7DB826EF"/>
    <w:rsid w:val="7DD155DD"/>
    <w:rsid w:val="7DD158EB"/>
    <w:rsid w:val="7DE1104A"/>
    <w:rsid w:val="7DEC4370"/>
    <w:rsid w:val="7DF92CD0"/>
    <w:rsid w:val="7EB8237C"/>
    <w:rsid w:val="7F921D14"/>
    <w:rsid w:val="7FA72A29"/>
    <w:rsid w:val="7FE25C11"/>
    <w:rsid w:val="7FE55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Calibri"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semiHidden="0" w:name="index 2"/>
    <w:lsdException w:unhideWhenUsed="0" w:uiPriority="0" w:semiHidden="0" w:name="index 3"/>
    <w:lsdException w:qFormat="1"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qFormat="1" w:unhideWhenUsed="0" w:uiPriority="39" w:semiHidden="0" w:name="toc 3"/>
    <w:lsdException w:qFormat="1" w:uiPriority="39" w:semiHidden="0" w:name="toc 4"/>
    <w:lsdException w:uiPriority="39" w:semiHidden="0" w:name="toc 5"/>
    <w:lsdException w:qFormat="1" w:uiPriority="39" w:semiHidden="0" w:name="toc 6"/>
    <w:lsdException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Calibri" w:eastAsia="仿宋_GB2312" w:cs="Times New Roman"/>
      <w:kern w:val="2"/>
      <w:sz w:val="21"/>
      <w:szCs w:val="22"/>
      <w:lang w:val="en-US" w:eastAsia="zh-CN" w:bidi="ar-SA"/>
    </w:rPr>
  </w:style>
  <w:style w:type="paragraph" w:styleId="5">
    <w:name w:val="heading 1"/>
    <w:basedOn w:val="1"/>
    <w:next w:val="1"/>
    <w:link w:val="85"/>
    <w:qFormat/>
    <w:uiPriority w:val="0"/>
    <w:pPr>
      <w:keepNext/>
      <w:keepLines/>
      <w:overflowPunct w:val="0"/>
      <w:adjustRightInd w:val="0"/>
      <w:snapToGrid w:val="0"/>
      <w:spacing w:before="100" w:after="120"/>
      <w:jc w:val="center"/>
      <w:outlineLvl w:val="0"/>
    </w:pPr>
    <w:rPr>
      <w:rFonts w:ascii="宋体" w:hAnsi="宋体" w:eastAsia="宋体"/>
      <w:b/>
      <w:kern w:val="0"/>
      <w:sz w:val="36"/>
      <w:szCs w:val="44"/>
    </w:rPr>
  </w:style>
  <w:style w:type="paragraph" w:styleId="6">
    <w:name w:val="heading 2"/>
    <w:basedOn w:val="1"/>
    <w:next w:val="1"/>
    <w:link w:val="129"/>
    <w:qFormat/>
    <w:uiPriority w:val="0"/>
    <w:pPr>
      <w:spacing w:line="600" w:lineRule="exact"/>
      <w:contextualSpacing/>
      <w:jc w:val="center"/>
      <w:outlineLvl w:val="1"/>
    </w:pPr>
    <w:rPr>
      <w:rFonts w:ascii="宋体" w:hAnsi="宋体"/>
      <w:b/>
      <w:bCs/>
      <w:sz w:val="28"/>
      <w:szCs w:val="28"/>
    </w:rPr>
  </w:style>
  <w:style w:type="paragraph" w:styleId="7">
    <w:name w:val="heading 3"/>
    <w:basedOn w:val="1"/>
    <w:next w:val="1"/>
    <w:link w:val="130"/>
    <w:qFormat/>
    <w:uiPriority w:val="0"/>
    <w:pPr>
      <w:keepNext/>
      <w:keepLines/>
      <w:spacing w:after="120" w:line="500" w:lineRule="exact"/>
      <w:jc w:val="left"/>
      <w:outlineLvl w:val="2"/>
    </w:pPr>
    <w:rPr>
      <w:rFonts w:ascii="宋体" w:hAnsi="宋体"/>
      <w:b/>
      <w:bCs/>
      <w:sz w:val="24"/>
      <w:szCs w:val="24"/>
    </w:rPr>
  </w:style>
  <w:style w:type="paragraph" w:styleId="8">
    <w:name w:val="heading 4"/>
    <w:basedOn w:val="1"/>
    <w:next w:val="1"/>
    <w:link w:val="105"/>
    <w:qFormat/>
    <w:uiPriority w:val="0"/>
    <w:pPr>
      <w:spacing w:before="240"/>
      <w:ind w:firstLine="425" w:firstLineChars="177"/>
      <w:jc w:val="left"/>
      <w:outlineLvl w:val="3"/>
    </w:pPr>
    <w:rPr>
      <w:rFonts w:ascii="宋体" w:hAnsi="宋体"/>
      <w:sz w:val="24"/>
      <w:szCs w:val="28"/>
    </w:rPr>
  </w:style>
  <w:style w:type="paragraph" w:styleId="9">
    <w:name w:val="heading 5"/>
    <w:basedOn w:val="1"/>
    <w:next w:val="1"/>
    <w:link w:val="101"/>
    <w:qFormat/>
    <w:uiPriority w:val="0"/>
    <w:pPr>
      <w:keepNext/>
      <w:keepLines/>
      <w:widowControl/>
      <w:tabs>
        <w:tab w:val="left" w:pos="1008"/>
      </w:tabs>
      <w:spacing w:before="280" w:line="372" w:lineRule="auto"/>
      <w:ind w:left="1008" w:hanging="1008"/>
      <w:jc w:val="center"/>
      <w:outlineLvl w:val="4"/>
    </w:pPr>
    <w:rPr>
      <w:b/>
      <w:bCs/>
      <w:kern w:val="0"/>
      <w:sz w:val="28"/>
      <w:szCs w:val="28"/>
    </w:rPr>
  </w:style>
  <w:style w:type="paragraph" w:styleId="10">
    <w:name w:val="heading 6"/>
    <w:basedOn w:val="1"/>
    <w:next w:val="1"/>
    <w:link w:val="80"/>
    <w:qFormat/>
    <w:uiPriority w:val="0"/>
    <w:pPr>
      <w:keepNext/>
      <w:keepLines/>
      <w:widowControl/>
      <w:tabs>
        <w:tab w:val="left" w:pos="1440"/>
      </w:tabs>
      <w:spacing w:before="240" w:after="64" w:line="320" w:lineRule="auto"/>
      <w:ind w:left="1152" w:hanging="1152"/>
      <w:jc w:val="center"/>
      <w:outlineLvl w:val="5"/>
    </w:pPr>
    <w:rPr>
      <w:rFonts w:ascii="Arial" w:hAnsi="Arial" w:eastAsia="黑体"/>
      <w:b/>
      <w:bCs/>
      <w:kern w:val="0"/>
      <w:sz w:val="24"/>
      <w:szCs w:val="24"/>
    </w:rPr>
  </w:style>
  <w:style w:type="paragraph" w:styleId="11">
    <w:name w:val="heading 7"/>
    <w:basedOn w:val="1"/>
    <w:next w:val="1"/>
    <w:link w:val="148"/>
    <w:qFormat/>
    <w:uiPriority w:val="0"/>
    <w:pPr>
      <w:keepNext/>
      <w:keepLines/>
      <w:widowControl/>
      <w:tabs>
        <w:tab w:val="left" w:pos="2520"/>
      </w:tabs>
      <w:spacing w:before="240" w:after="64" w:line="320" w:lineRule="auto"/>
      <w:ind w:left="1296" w:hanging="1296"/>
      <w:jc w:val="left"/>
      <w:outlineLvl w:val="6"/>
    </w:pPr>
    <w:rPr>
      <w:rFonts w:ascii="宋体" w:hAnsi="宋体"/>
      <w:b/>
      <w:bCs/>
      <w:kern w:val="0"/>
      <w:sz w:val="24"/>
      <w:szCs w:val="24"/>
    </w:rPr>
  </w:style>
  <w:style w:type="paragraph" w:styleId="12">
    <w:name w:val="heading 8"/>
    <w:basedOn w:val="1"/>
    <w:next w:val="1"/>
    <w:link w:val="100"/>
    <w:qFormat/>
    <w:uiPriority w:val="0"/>
    <w:pPr>
      <w:keepNext/>
      <w:keepLines/>
      <w:widowControl/>
      <w:tabs>
        <w:tab w:val="left" w:pos="1440"/>
      </w:tabs>
      <w:spacing w:before="240" w:after="64" w:line="320" w:lineRule="auto"/>
      <w:ind w:left="1440" w:hanging="1440"/>
      <w:jc w:val="left"/>
      <w:outlineLvl w:val="7"/>
    </w:pPr>
    <w:rPr>
      <w:rFonts w:ascii="Arial" w:hAnsi="Arial" w:eastAsia="黑体"/>
      <w:kern w:val="0"/>
      <w:sz w:val="24"/>
      <w:szCs w:val="24"/>
    </w:rPr>
  </w:style>
  <w:style w:type="paragraph" w:styleId="13">
    <w:name w:val="heading 9"/>
    <w:basedOn w:val="1"/>
    <w:next w:val="1"/>
    <w:link w:val="53"/>
    <w:qFormat/>
    <w:uiPriority w:val="0"/>
    <w:pPr>
      <w:keepNext/>
      <w:keepLines/>
      <w:widowControl/>
      <w:tabs>
        <w:tab w:val="left" w:pos="1584"/>
      </w:tabs>
      <w:spacing w:before="240" w:after="64" w:line="320" w:lineRule="auto"/>
      <w:ind w:left="1584" w:hanging="1584"/>
      <w:jc w:val="left"/>
      <w:outlineLvl w:val="8"/>
    </w:pPr>
    <w:rPr>
      <w:rFonts w:ascii="Arial" w:hAnsi="Arial" w:eastAsia="黑体"/>
      <w:kern w:val="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rPr>
      <w:rFonts w:ascii="Calibri" w:eastAsia="宋体" w:cs="Calibri"/>
      <w:szCs w:val="21"/>
    </w:rPr>
  </w:style>
  <w:style w:type="paragraph" w:styleId="3">
    <w:name w:val="Body Text Indent"/>
    <w:basedOn w:val="1"/>
    <w:next w:val="4"/>
    <w:link w:val="107"/>
    <w:qFormat/>
    <w:uiPriority w:val="0"/>
    <w:pPr>
      <w:spacing w:after="120"/>
      <w:ind w:left="420" w:leftChars="200"/>
    </w:pPr>
    <w:rPr>
      <w:rFonts w:ascii="宋体" w:hAnsi="宋体"/>
      <w:szCs w:val="24"/>
    </w:rPr>
  </w:style>
  <w:style w:type="paragraph" w:styleId="4">
    <w:name w:val="envelope return"/>
    <w:basedOn w:val="1"/>
    <w:qFormat/>
    <w:uiPriority w:val="0"/>
    <w:pPr>
      <w:snapToGrid w:val="0"/>
    </w:pPr>
    <w:rPr>
      <w:rFonts w:ascii="Arial" w:hAnsi="Arial"/>
    </w:rPr>
  </w:style>
  <w:style w:type="paragraph" w:styleId="14">
    <w:name w:val="toc 7"/>
    <w:basedOn w:val="1"/>
    <w:next w:val="1"/>
    <w:unhideWhenUsed/>
    <w:uiPriority w:val="39"/>
    <w:pPr>
      <w:ind w:left="2520" w:leftChars="1200"/>
    </w:pPr>
    <w:rPr>
      <w:rFonts w:ascii="Calibri" w:eastAsia="宋体"/>
    </w:rPr>
  </w:style>
  <w:style w:type="paragraph" w:styleId="15">
    <w:name w:val="Normal Indent"/>
    <w:basedOn w:val="1"/>
    <w:qFormat/>
    <w:uiPriority w:val="0"/>
    <w:pPr>
      <w:ind w:firstLine="420" w:firstLineChars="200"/>
    </w:pPr>
  </w:style>
  <w:style w:type="paragraph" w:styleId="16">
    <w:name w:val="caption"/>
    <w:basedOn w:val="1"/>
    <w:next w:val="1"/>
    <w:qFormat/>
    <w:uiPriority w:val="0"/>
    <w:rPr>
      <w:rFonts w:ascii="Cambria" w:hAnsi="Cambria" w:eastAsia="黑体"/>
      <w:sz w:val="20"/>
      <w:szCs w:val="20"/>
    </w:rPr>
  </w:style>
  <w:style w:type="paragraph" w:styleId="17">
    <w:name w:val="List Bullet"/>
    <w:basedOn w:val="1"/>
    <w:unhideWhenUsed/>
    <w:qFormat/>
    <w:uiPriority w:val="0"/>
    <w:pPr>
      <w:numPr>
        <w:ilvl w:val="0"/>
        <w:numId w:val="1"/>
      </w:numPr>
    </w:pPr>
    <w:rPr>
      <w:rFonts w:ascii="Times New Roman" w:hAnsi="Times New Roman"/>
    </w:rPr>
  </w:style>
  <w:style w:type="paragraph" w:styleId="18">
    <w:name w:val="Document Map"/>
    <w:basedOn w:val="1"/>
    <w:link w:val="139"/>
    <w:semiHidden/>
    <w:uiPriority w:val="0"/>
    <w:pPr>
      <w:shd w:val="clear" w:color="auto" w:fill="000080"/>
    </w:pPr>
    <w:rPr>
      <w:rFonts w:ascii="宋体" w:hAnsi="宋体"/>
      <w:szCs w:val="24"/>
    </w:rPr>
  </w:style>
  <w:style w:type="paragraph" w:styleId="19">
    <w:name w:val="annotation text"/>
    <w:basedOn w:val="1"/>
    <w:link w:val="147"/>
    <w:semiHidden/>
    <w:qFormat/>
    <w:uiPriority w:val="0"/>
    <w:pPr>
      <w:jc w:val="left"/>
    </w:pPr>
    <w:rPr>
      <w:rFonts w:eastAsia="宋体"/>
      <w:szCs w:val="24"/>
    </w:rPr>
  </w:style>
  <w:style w:type="paragraph" w:styleId="20">
    <w:name w:val="Body Text 3"/>
    <w:basedOn w:val="1"/>
    <w:link w:val="59"/>
    <w:qFormat/>
    <w:uiPriority w:val="0"/>
    <w:rPr>
      <w:rFonts w:ascii="宋体" w:eastAsia="宋体"/>
      <w:sz w:val="24"/>
      <w:szCs w:val="20"/>
    </w:rPr>
  </w:style>
  <w:style w:type="paragraph" w:styleId="21">
    <w:name w:val="Body Text"/>
    <w:basedOn w:val="1"/>
    <w:link w:val="110"/>
    <w:qFormat/>
    <w:uiPriority w:val="0"/>
    <w:pPr>
      <w:spacing w:after="120"/>
    </w:pPr>
    <w:rPr>
      <w:rFonts w:ascii="宋体" w:hAnsi="宋体"/>
      <w:szCs w:val="24"/>
    </w:rPr>
  </w:style>
  <w:style w:type="paragraph" w:styleId="22">
    <w:name w:val="index 4"/>
    <w:basedOn w:val="1"/>
    <w:next w:val="1"/>
    <w:unhideWhenUsed/>
    <w:qFormat/>
    <w:uiPriority w:val="0"/>
    <w:pPr>
      <w:ind w:left="600" w:leftChars="600"/>
    </w:pPr>
    <w:rPr>
      <w:rFonts w:ascii="Times New Roman" w:hAnsi="Times New Roman"/>
    </w:rPr>
  </w:style>
  <w:style w:type="paragraph" w:styleId="23">
    <w:name w:val="toc 5"/>
    <w:basedOn w:val="1"/>
    <w:next w:val="1"/>
    <w:unhideWhenUsed/>
    <w:uiPriority w:val="39"/>
    <w:pPr>
      <w:ind w:left="1680" w:leftChars="800"/>
    </w:pPr>
    <w:rPr>
      <w:rFonts w:ascii="Calibri" w:eastAsia="宋体"/>
    </w:rPr>
  </w:style>
  <w:style w:type="paragraph" w:styleId="24">
    <w:name w:val="toc 3"/>
    <w:basedOn w:val="1"/>
    <w:next w:val="1"/>
    <w:qFormat/>
    <w:uiPriority w:val="39"/>
    <w:pPr>
      <w:ind w:left="840" w:leftChars="400"/>
    </w:pPr>
  </w:style>
  <w:style w:type="paragraph" w:styleId="25">
    <w:name w:val="Plain Text"/>
    <w:basedOn w:val="1"/>
    <w:link w:val="52"/>
    <w:qFormat/>
    <w:uiPriority w:val="0"/>
    <w:pPr>
      <w:spacing w:line="305" w:lineRule="auto"/>
      <w:ind w:firstLine="420"/>
    </w:pPr>
    <w:rPr>
      <w:rFonts w:ascii="宋体" w:hAnsi="Courier New" w:eastAsia="宋体" w:cs="Courier New"/>
      <w:szCs w:val="21"/>
    </w:rPr>
  </w:style>
  <w:style w:type="paragraph" w:styleId="26">
    <w:name w:val="toc 8"/>
    <w:basedOn w:val="1"/>
    <w:next w:val="1"/>
    <w:unhideWhenUsed/>
    <w:qFormat/>
    <w:uiPriority w:val="39"/>
    <w:pPr>
      <w:ind w:left="2940" w:leftChars="1400"/>
    </w:pPr>
    <w:rPr>
      <w:rFonts w:ascii="Calibri" w:eastAsia="宋体"/>
    </w:rPr>
  </w:style>
  <w:style w:type="paragraph" w:styleId="27">
    <w:name w:val="Date"/>
    <w:basedOn w:val="1"/>
    <w:next w:val="1"/>
    <w:link w:val="55"/>
    <w:qFormat/>
    <w:uiPriority w:val="0"/>
    <w:pPr>
      <w:ind w:left="100" w:leftChars="2500"/>
    </w:pPr>
    <w:rPr>
      <w:rFonts w:ascii="宋体" w:hAnsi="宋体"/>
      <w:szCs w:val="24"/>
    </w:rPr>
  </w:style>
  <w:style w:type="paragraph" w:styleId="28">
    <w:name w:val="Body Text Indent 2"/>
    <w:basedOn w:val="1"/>
    <w:link w:val="88"/>
    <w:qFormat/>
    <w:uiPriority w:val="0"/>
    <w:pPr>
      <w:spacing w:line="305" w:lineRule="auto"/>
      <w:ind w:left="420" w:hanging="420" w:hangingChars="200"/>
    </w:pPr>
    <w:rPr>
      <w:rFonts w:ascii="宋体" w:hAnsi="宋体"/>
      <w:kern w:val="0"/>
      <w:szCs w:val="20"/>
    </w:rPr>
  </w:style>
  <w:style w:type="paragraph" w:styleId="29">
    <w:name w:val="Balloon Text"/>
    <w:basedOn w:val="1"/>
    <w:link w:val="143"/>
    <w:semiHidden/>
    <w:qFormat/>
    <w:uiPriority w:val="0"/>
    <w:rPr>
      <w:rFonts w:ascii="宋体" w:hAnsi="宋体"/>
      <w:sz w:val="18"/>
      <w:szCs w:val="18"/>
    </w:rPr>
  </w:style>
  <w:style w:type="paragraph" w:styleId="30">
    <w:name w:val="footer"/>
    <w:basedOn w:val="1"/>
    <w:link w:val="103"/>
    <w:uiPriority w:val="0"/>
    <w:pPr>
      <w:tabs>
        <w:tab w:val="center" w:pos="4153"/>
        <w:tab w:val="right" w:pos="8306"/>
      </w:tabs>
      <w:snapToGrid w:val="0"/>
      <w:jc w:val="left"/>
    </w:pPr>
    <w:rPr>
      <w:sz w:val="18"/>
      <w:szCs w:val="18"/>
    </w:rPr>
  </w:style>
  <w:style w:type="paragraph" w:styleId="31">
    <w:name w:val="header"/>
    <w:basedOn w:val="1"/>
    <w:link w:val="82"/>
    <w:qFormat/>
    <w:uiPriority w:val="0"/>
    <w:pPr>
      <w:pBdr>
        <w:bottom w:val="single" w:color="auto" w:sz="6" w:space="1"/>
      </w:pBdr>
      <w:tabs>
        <w:tab w:val="center" w:pos="4153"/>
        <w:tab w:val="right" w:pos="8306"/>
      </w:tabs>
      <w:snapToGrid w:val="0"/>
      <w:jc w:val="center"/>
    </w:pPr>
    <w:rPr>
      <w:rFonts w:ascii="宋体" w:hAnsi="宋体"/>
      <w:sz w:val="18"/>
      <w:szCs w:val="18"/>
    </w:rPr>
  </w:style>
  <w:style w:type="paragraph" w:styleId="32">
    <w:name w:val="toc 1"/>
    <w:basedOn w:val="1"/>
    <w:next w:val="1"/>
    <w:uiPriority w:val="39"/>
    <w:pPr>
      <w:tabs>
        <w:tab w:val="right" w:leader="dot" w:pos="8296"/>
      </w:tabs>
      <w:ind w:left="2" w:leftChars="1"/>
    </w:pPr>
    <w:rPr>
      <w:rFonts w:eastAsia="宋体"/>
      <w:b/>
      <w:sz w:val="24"/>
      <w:szCs w:val="20"/>
    </w:rPr>
  </w:style>
  <w:style w:type="paragraph" w:styleId="33">
    <w:name w:val="toc 4"/>
    <w:basedOn w:val="1"/>
    <w:next w:val="1"/>
    <w:unhideWhenUsed/>
    <w:qFormat/>
    <w:uiPriority w:val="39"/>
    <w:pPr>
      <w:ind w:left="1260" w:leftChars="600"/>
    </w:pPr>
    <w:rPr>
      <w:rFonts w:ascii="Calibri" w:eastAsia="宋体"/>
    </w:rPr>
  </w:style>
  <w:style w:type="paragraph" w:styleId="34">
    <w:name w:val="Subtitle"/>
    <w:basedOn w:val="1"/>
    <w:next w:val="1"/>
    <w:link w:val="108"/>
    <w:qFormat/>
    <w:uiPriority w:val="0"/>
    <w:pPr>
      <w:spacing w:before="240" w:after="60" w:line="312" w:lineRule="auto"/>
      <w:jc w:val="center"/>
      <w:outlineLvl w:val="1"/>
    </w:pPr>
    <w:rPr>
      <w:rFonts w:ascii="Cambria" w:hAnsi="Cambria" w:eastAsia="华文楷体"/>
      <w:b/>
      <w:bCs/>
      <w:kern w:val="28"/>
      <w:sz w:val="32"/>
      <w:szCs w:val="32"/>
    </w:rPr>
  </w:style>
  <w:style w:type="paragraph" w:styleId="35">
    <w:name w:val="toc 6"/>
    <w:basedOn w:val="1"/>
    <w:next w:val="1"/>
    <w:unhideWhenUsed/>
    <w:qFormat/>
    <w:uiPriority w:val="39"/>
    <w:pPr>
      <w:ind w:left="2100" w:leftChars="1000"/>
    </w:pPr>
    <w:rPr>
      <w:rFonts w:ascii="Calibri" w:eastAsia="宋体"/>
    </w:rPr>
  </w:style>
  <w:style w:type="paragraph" w:styleId="36">
    <w:name w:val="Body Text Indent 3"/>
    <w:basedOn w:val="1"/>
    <w:link w:val="136"/>
    <w:qFormat/>
    <w:uiPriority w:val="0"/>
    <w:pPr>
      <w:spacing w:after="120"/>
      <w:ind w:left="420" w:leftChars="200"/>
    </w:pPr>
    <w:rPr>
      <w:rFonts w:eastAsia="宋体"/>
      <w:sz w:val="16"/>
      <w:szCs w:val="16"/>
    </w:rPr>
  </w:style>
  <w:style w:type="paragraph" w:styleId="37">
    <w:name w:val="toc 2"/>
    <w:basedOn w:val="1"/>
    <w:next w:val="1"/>
    <w:uiPriority w:val="39"/>
    <w:pPr>
      <w:tabs>
        <w:tab w:val="right" w:leader="dot" w:pos="8296"/>
      </w:tabs>
      <w:ind w:left="200" w:leftChars="200"/>
    </w:pPr>
    <w:rPr>
      <w:rFonts w:eastAsia="宋体"/>
      <w:sz w:val="24"/>
    </w:rPr>
  </w:style>
  <w:style w:type="paragraph" w:styleId="38">
    <w:name w:val="toc 9"/>
    <w:basedOn w:val="1"/>
    <w:next w:val="1"/>
    <w:unhideWhenUsed/>
    <w:qFormat/>
    <w:uiPriority w:val="39"/>
    <w:pPr>
      <w:ind w:left="3360" w:leftChars="1600"/>
    </w:pPr>
    <w:rPr>
      <w:rFonts w:ascii="Calibri" w:eastAsia="宋体"/>
    </w:rPr>
  </w:style>
  <w:style w:type="paragraph" w:styleId="39">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styleId="40">
    <w:name w:val="index 1"/>
    <w:basedOn w:val="1"/>
    <w:next w:val="1"/>
    <w:semiHidden/>
    <w:qFormat/>
    <w:uiPriority w:val="0"/>
    <w:pPr>
      <w:spacing w:line="220" w:lineRule="exact"/>
      <w:jc w:val="center"/>
    </w:pPr>
    <w:rPr>
      <w:szCs w:val="21"/>
    </w:rPr>
  </w:style>
  <w:style w:type="paragraph" w:styleId="41">
    <w:name w:val="Title"/>
    <w:basedOn w:val="1"/>
    <w:link w:val="8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2">
    <w:name w:val="annotation subject"/>
    <w:basedOn w:val="19"/>
    <w:next w:val="19"/>
    <w:link w:val="106"/>
    <w:semiHidden/>
    <w:qFormat/>
    <w:uiPriority w:val="0"/>
    <w:rPr>
      <w:rFonts w:ascii="宋体" w:hAnsi="宋体"/>
      <w:b/>
      <w:bCs/>
    </w:rPr>
  </w:style>
  <w:style w:type="paragraph" w:styleId="43">
    <w:name w:val="Body Text First Indent"/>
    <w:basedOn w:val="21"/>
    <w:qFormat/>
    <w:uiPriority w:val="0"/>
    <w:pPr>
      <w:ind w:firstLine="420" w:firstLineChars="100"/>
    </w:p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7">
    <w:name w:val="Strong"/>
    <w:qFormat/>
    <w:uiPriority w:val="0"/>
    <w:rPr>
      <w:b/>
      <w:bCs/>
    </w:rPr>
  </w:style>
  <w:style w:type="character" w:styleId="48">
    <w:name w:val="page number"/>
    <w:basedOn w:val="46"/>
    <w:uiPriority w:val="0"/>
  </w:style>
  <w:style w:type="character" w:styleId="49">
    <w:name w:val="FollowedHyperlink"/>
    <w:qFormat/>
    <w:uiPriority w:val="99"/>
    <w:rPr>
      <w:color w:val="333333"/>
      <w:u w:val="none"/>
    </w:rPr>
  </w:style>
  <w:style w:type="character" w:styleId="50">
    <w:name w:val="Hyperlink"/>
    <w:qFormat/>
    <w:uiPriority w:val="99"/>
    <w:rPr>
      <w:color w:val="333333"/>
      <w:u w:val="none"/>
    </w:rPr>
  </w:style>
  <w:style w:type="character" w:styleId="51">
    <w:name w:val="annotation reference"/>
    <w:semiHidden/>
    <w:uiPriority w:val="0"/>
    <w:rPr>
      <w:sz w:val="21"/>
      <w:szCs w:val="21"/>
    </w:rPr>
  </w:style>
  <w:style w:type="character" w:customStyle="1" w:styleId="52">
    <w:name w:val="纯文本 字符"/>
    <w:link w:val="25"/>
    <w:qFormat/>
    <w:uiPriority w:val="0"/>
    <w:rPr>
      <w:rFonts w:ascii="宋体" w:hAnsi="Courier New" w:eastAsia="宋体" w:cs="Courier New"/>
      <w:kern w:val="2"/>
      <w:sz w:val="21"/>
      <w:szCs w:val="21"/>
      <w:lang w:val="en-US" w:eastAsia="zh-CN" w:bidi="ar-SA"/>
    </w:rPr>
  </w:style>
  <w:style w:type="character" w:customStyle="1" w:styleId="53">
    <w:name w:val="标题 9 字符"/>
    <w:link w:val="13"/>
    <w:uiPriority w:val="0"/>
    <w:rPr>
      <w:rFonts w:ascii="Arial" w:hAnsi="Arial" w:eastAsia="黑体"/>
      <w:sz w:val="21"/>
      <w:szCs w:val="21"/>
    </w:rPr>
  </w:style>
  <w:style w:type="character" w:customStyle="1" w:styleId="54">
    <w:name w:val="纯文本 Char"/>
    <w:qFormat/>
    <w:uiPriority w:val="0"/>
    <w:rPr>
      <w:rFonts w:ascii="宋体" w:hAnsi="Courier New" w:eastAsia="宋体" w:cs="Courier New"/>
      <w:kern w:val="2"/>
      <w:sz w:val="21"/>
      <w:szCs w:val="21"/>
      <w:lang w:val="en-US" w:eastAsia="zh-CN" w:bidi="ar-SA"/>
    </w:rPr>
  </w:style>
  <w:style w:type="character" w:customStyle="1" w:styleId="55">
    <w:name w:val="日期 字符"/>
    <w:link w:val="27"/>
    <w:qFormat/>
    <w:uiPriority w:val="0"/>
    <w:rPr>
      <w:rFonts w:ascii="宋体" w:hAnsi="宋体"/>
      <w:kern w:val="2"/>
      <w:sz w:val="21"/>
      <w:szCs w:val="24"/>
    </w:rPr>
  </w:style>
  <w:style w:type="character" w:customStyle="1" w:styleId="56">
    <w:name w:val="日期 Char1"/>
    <w:qFormat/>
    <w:uiPriority w:val="0"/>
    <w:rPr>
      <w:kern w:val="2"/>
      <w:sz w:val="21"/>
      <w:szCs w:val="22"/>
    </w:rPr>
  </w:style>
  <w:style w:type="character" w:customStyle="1" w:styleId="57">
    <w:name w:val="明显引用 字符"/>
    <w:link w:val="58"/>
    <w:qFormat/>
    <w:uiPriority w:val="0"/>
    <w:rPr>
      <w:rFonts w:ascii="Calibri" w:hAnsi="Calibri"/>
      <w:b/>
      <w:bCs/>
      <w:i/>
      <w:iCs/>
      <w:color w:val="4F81BD"/>
      <w:kern w:val="2"/>
      <w:sz w:val="21"/>
      <w:szCs w:val="22"/>
    </w:rPr>
  </w:style>
  <w:style w:type="paragraph" w:styleId="58">
    <w:name w:val="Intense Quote"/>
    <w:basedOn w:val="1"/>
    <w:next w:val="1"/>
    <w:link w:val="57"/>
    <w:qFormat/>
    <w:uiPriority w:val="0"/>
    <w:pPr>
      <w:pBdr>
        <w:bottom w:val="single" w:color="4F81BD" w:sz="4" w:space="4"/>
      </w:pBdr>
      <w:spacing w:before="200" w:after="280"/>
      <w:ind w:left="936" w:right="936"/>
    </w:pPr>
    <w:rPr>
      <w:rFonts w:ascii="Calibri"/>
      <w:b/>
      <w:bCs/>
      <w:i/>
      <w:iCs/>
      <w:color w:val="4F81BD"/>
    </w:rPr>
  </w:style>
  <w:style w:type="character" w:customStyle="1" w:styleId="59">
    <w:name w:val="正文文本 3 字符"/>
    <w:link w:val="20"/>
    <w:qFormat/>
    <w:uiPriority w:val="0"/>
    <w:rPr>
      <w:rFonts w:ascii="宋体" w:eastAsia="宋体"/>
      <w:kern w:val="2"/>
      <w:sz w:val="24"/>
      <w:lang w:val="en-US" w:eastAsia="zh-CN" w:bidi="ar-SA"/>
    </w:rPr>
  </w:style>
  <w:style w:type="character" w:customStyle="1" w:styleId="60">
    <w:name w:val="标题 2 Char_3"/>
    <w:link w:val="61"/>
    <w:uiPriority w:val="0"/>
    <w:rPr>
      <w:rFonts w:ascii="Calibri" w:hAnsi="Calibri"/>
      <w:b/>
      <w:bCs/>
      <w:kern w:val="2"/>
      <w:sz w:val="28"/>
      <w:szCs w:val="28"/>
      <w:lang w:val="en-US" w:eastAsia="zh-CN"/>
    </w:rPr>
  </w:style>
  <w:style w:type="paragraph" w:customStyle="1" w:styleId="61">
    <w:name w:val="标题 2_3"/>
    <w:basedOn w:val="62"/>
    <w:next w:val="62"/>
    <w:link w:val="60"/>
    <w:qFormat/>
    <w:uiPriority w:val="0"/>
    <w:pPr>
      <w:widowControl/>
      <w:spacing w:line="600" w:lineRule="exact"/>
      <w:contextualSpacing/>
      <w:jc w:val="center"/>
      <w:outlineLvl w:val="1"/>
    </w:pPr>
    <w:rPr>
      <w:rFonts w:ascii="Calibri"/>
      <w:b/>
      <w:bCs/>
      <w:sz w:val="28"/>
      <w:szCs w:val="28"/>
    </w:rPr>
  </w:style>
  <w:style w:type="paragraph" w:customStyle="1" w:styleId="62">
    <w:name w:val="正文_0_4"/>
    <w:qFormat/>
    <w:uiPriority w:val="0"/>
    <w:pPr>
      <w:widowControl w:val="0"/>
      <w:jc w:val="both"/>
    </w:pPr>
    <w:rPr>
      <w:rFonts w:ascii="仿宋_GB2312" w:hAnsi="Calibri" w:eastAsia="仿宋_GB2312" w:cs="Times New Roman"/>
      <w:kern w:val="2"/>
      <w:sz w:val="21"/>
      <w:szCs w:val="22"/>
      <w:lang w:val="en-US" w:eastAsia="zh-CN" w:bidi="ar-SA"/>
    </w:rPr>
  </w:style>
  <w:style w:type="character" w:customStyle="1" w:styleId="63">
    <w:name w:val="unnamed11"/>
    <w:qFormat/>
    <w:uiPriority w:val="0"/>
  </w:style>
  <w:style w:type="character" w:customStyle="1" w:styleId="64">
    <w:name w:val="标题 4 Char_0"/>
    <w:link w:val="65"/>
    <w:qFormat/>
    <w:uiPriority w:val="9"/>
    <w:rPr>
      <w:rFonts w:ascii="Cambria" w:hAnsi="Cambria"/>
      <w:b/>
      <w:bCs/>
      <w:kern w:val="2"/>
      <w:sz w:val="28"/>
      <w:szCs w:val="28"/>
    </w:rPr>
  </w:style>
  <w:style w:type="paragraph" w:customStyle="1" w:styleId="65">
    <w:name w:val="标题 4_0"/>
    <w:basedOn w:val="66"/>
    <w:next w:val="66"/>
    <w:link w:val="64"/>
    <w:unhideWhenUsed/>
    <w:qFormat/>
    <w:uiPriority w:val="9"/>
    <w:pPr>
      <w:keepNext/>
      <w:keepLines/>
      <w:spacing w:before="280" w:after="290" w:line="376" w:lineRule="auto"/>
      <w:outlineLvl w:val="3"/>
    </w:pPr>
    <w:rPr>
      <w:rFonts w:ascii="Cambria" w:hAnsi="Cambria"/>
      <w:b/>
      <w:bCs/>
      <w:sz w:val="28"/>
      <w:szCs w:val="28"/>
    </w:rPr>
  </w:style>
  <w:style w:type="paragraph" w:customStyle="1" w:styleId="66">
    <w:name w:val="正文_2"/>
    <w:qFormat/>
    <w:uiPriority w:val="0"/>
    <w:pPr>
      <w:widowControl w:val="0"/>
      <w:jc w:val="both"/>
    </w:pPr>
    <w:rPr>
      <w:rFonts w:ascii="仿宋_GB2312" w:hAnsi="Calibri" w:eastAsia="仿宋_GB2312" w:cs="Times New Roman"/>
      <w:kern w:val="2"/>
      <w:sz w:val="21"/>
      <w:szCs w:val="24"/>
      <w:lang w:val="en-US" w:eastAsia="zh-CN" w:bidi="ar-SA"/>
    </w:rPr>
  </w:style>
  <w:style w:type="character" w:customStyle="1" w:styleId="67">
    <w:name w:val="标题 3 Char_1_0"/>
    <w:link w:val="68"/>
    <w:uiPriority w:val="0"/>
    <w:rPr>
      <w:rFonts w:ascii="Calibri" w:hAnsi="Calibri"/>
      <w:b/>
      <w:bCs/>
      <w:kern w:val="2"/>
      <w:sz w:val="24"/>
      <w:szCs w:val="22"/>
      <w:lang w:val="en-US" w:eastAsia="zh-CN"/>
    </w:rPr>
  </w:style>
  <w:style w:type="paragraph" w:customStyle="1" w:styleId="68">
    <w:name w:val="标题 3_1_0"/>
    <w:basedOn w:val="69"/>
    <w:next w:val="69"/>
    <w:link w:val="67"/>
    <w:qFormat/>
    <w:uiPriority w:val="0"/>
    <w:pPr>
      <w:keepNext/>
      <w:keepLines/>
      <w:widowControl/>
      <w:spacing w:after="120" w:line="500" w:lineRule="exact"/>
      <w:jc w:val="left"/>
      <w:outlineLvl w:val="2"/>
    </w:pPr>
    <w:rPr>
      <w:rFonts w:ascii="Calibri"/>
      <w:b/>
      <w:bCs/>
      <w:sz w:val="24"/>
    </w:rPr>
  </w:style>
  <w:style w:type="paragraph" w:customStyle="1" w:styleId="69">
    <w:name w:val="正文_4_1"/>
    <w:qFormat/>
    <w:uiPriority w:val="0"/>
    <w:pPr>
      <w:widowControl w:val="0"/>
      <w:jc w:val="both"/>
    </w:pPr>
    <w:rPr>
      <w:rFonts w:ascii="仿宋_GB2312" w:hAnsi="Calibri" w:eastAsia="仿宋_GB2312" w:cs="Times New Roman"/>
      <w:kern w:val="2"/>
      <w:sz w:val="21"/>
      <w:szCs w:val="22"/>
      <w:lang w:val="en-US" w:eastAsia="zh-CN" w:bidi="ar-SA"/>
    </w:rPr>
  </w:style>
  <w:style w:type="character" w:customStyle="1" w:styleId="70">
    <w:name w:val="标题 2 Char_0_0"/>
    <w:link w:val="71"/>
    <w:uiPriority w:val="0"/>
    <w:rPr>
      <w:rFonts w:ascii="Calibri" w:hAnsi="Calibri"/>
      <w:b/>
      <w:bCs/>
      <w:kern w:val="2"/>
      <w:sz w:val="28"/>
      <w:szCs w:val="28"/>
      <w:lang w:val="en-US" w:eastAsia="zh-CN"/>
    </w:rPr>
  </w:style>
  <w:style w:type="paragraph" w:customStyle="1" w:styleId="71">
    <w:name w:val="标题 2_0_0"/>
    <w:basedOn w:val="72"/>
    <w:next w:val="73"/>
    <w:link w:val="70"/>
    <w:qFormat/>
    <w:uiPriority w:val="0"/>
    <w:pPr>
      <w:widowControl/>
      <w:spacing w:line="600" w:lineRule="exact"/>
      <w:contextualSpacing/>
      <w:jc w:val="center"/>
      <w:outlineLvl w:val="1"/>
    </w:pPr>
    <w:rPr>
      <w:rFonts w:ascii="Calibri"/>
      <w:b/>
      <w:bCs/>
      <w:sz w:val="28"/>
      <w:szCs w:val="28"/>
    </w:rPr>
  </w:style>
  <w:style w:type="paragraph" w:customStyle="1" w:styleId="72">
    <w:name w:val="正文_0_0"/>
    <w:qFormat/>
    <w:uiPriority w:val="0"/>
    <w:pPr>
      <w:widowControl w:val="0"/>
      <w:jc w:val="both"/>
    </w:pPr>
    <w:rPr>
      <w:rFonts w:ascii="仿宋_GB2312" w:hAnsi="Calibri" w:eastAsia="仿宋_GB2312" w:cs="Times New Roman"/>
      <w:kern w:val="2"/>
      <w:sz w:val="21"/>
      <w:szCs w:val="24"/>
      <w:lang w:val="en-US" w:eastAsia="zh-CN" w:bidi="ar-SA"/>
    </w:rPr>
  </w:style>
  <w:style w:type="paragraph" w:customStyle="1" w:styleId="73">
    <w:name w:val="正文缩进_0_0"/>
    <w:basedOn w:val="72"/>
    <w:unhideWhenUsed/>
    <w:qFormat/>
    <w:uiPriority w:val="99"/>
    <w:pPr>
      <w:ind w:firstLine="420"/>
    </w:pPr>
    <w:rPr>
      <w:rFonts w:ascii="Calibri"/>
    </w:rPr>
  </w:style>
  <w:style w:type="character" w:customStyle="1" w:styleId="74">
    <w:name w:val="标题 3 Char1"/>
    <w:link w:val="75"/>
    <w:qFormat/>
    <w:uiPriority w:val="0"/>
    <w:rPr>
      <w:b/>
      <w:bCs/>
      <w:sz w:val="32"/>
      <w:szCs w:val="32"/>
    </w:rPr>
  </w:style>
  <w:style w:type="paragraph" w:customStyle="1" w:styleId="75">
    <w:name w:val="标题 3_0"/>
    <w:basedOn w:val="76"/>
    <w:next w:val="76"/>
    <w:link w:val="74"/>
    <w:qFormat/>
    <w:uiPriority w:val="0"/>
    <w:pPr>
      <w:spacing w:before="260" w:after="260" w:line="416" w:lineRule="auto"/>
      <w:outlineLvl w:val="2"/>
    </w:pPr>
    <w:rPr>
      <w:b/>
      <w:bCs/>
      <w:kern w:val="0"/>
      <w:sz w:val="32"/>
      <w:szCs w:val="32"/>
    </w:rPr>
  </w:style>
  <w:style w:type="paragraph" w:customStyle="1" w:styleId="76">
    <w:name w:val="正文_0"/>
    <w:qFormat/>
    <w:uiPriority w:val="0"/>
    <w:pPr>
      <w:widowControl w:val="0"/>
      <w:jc w:val="both"/>
    </w:pPr>
    <w:rPr>
      <w:rFonts w:ascii="仿宋_GB2312" w:hAnsi="Calibri" w:eastAsia="仿宋_GB2312" w:cs="Times New Roman"/>
      <w:kern w:val="2"/>
      <w:sz w:val="21"/>
      <w:szCs w:val="21"/>
      <w:lang w:val="en-US" w:eastAsia="zh-CN" w:bidi="ar-SA"/>
    </w:rPr>
  </w:style>
  <w:style w:type="character" w:customStyle="1" w:styleId="77">
    <w:name w:val="标题 3 Char_0_0"/>
    <w:link w:val="78"/>
    <w:uiPriority w:val="0"/>
    <w:rPr>
      <w:rFonts w:ascii="Calibri" w:hAnsi="Calibri"/>
      <w:b/>
      <w:bCs/>
      <w:kern w:val="2"/>
      <w:sz w:val="24"/>
      <w:szCs w:val="22"/>
      <w:lang w:val="en-US" w:eastAsia="zh-CN"/>
    </w:rPr>
  </w:style>
  <w:style w:type="paragraph" w:customStyle="1" w:styleId="78">
    <w:name w:val="标题 3_0_0"/>
    <w:basedOn w:val="79"/>
    <w:next w:val="79"/>
    <w:link w:val="77"/>
    <w:qFormat/>
    <w:uiPriority w:val="0"/>
    <w:pPr>
      <w:keepNext/>
      <w:keepLines/>
      <w:widowControl/>
      <w:spacing w:after="120" w:line="500" w:lineRule="exact"/>
      <w:jc w:val="left"/>
      <w:outlineLvl w:val="2"/>
    </w:pPr>
    <w:rPr>
      <w:rFonts w:ascii="Calibri"/>
      <w:b/>
      <w:bCs/>
      <w:sz w:val="24"/>
    </w:rPr>
  </w:style>
  <w:style w:type="paragraph" w:customStyle="1" w:styleId="79">
    <w:name w:val="正文_3_2"/>
    <w:qFormat/>
    <w:uiPriority w:val="0"/>
    <w:pPr>
      <w:widowControl w:val="0"/>
      <w:jc w:val="both"/>
    </w:pPr>
    <w:rPr>
      <w:rFonts w:ascii="仿宋_GB2312" w:hAnsi="Calibri" w:eastAsia="仿宋_GB2312" w:cs="Times New Roman"/>
      <w:kern w:val="2"/>
      <w:sz w:val="21"/>
      <w:szCs w:val="22"/>
      <w:lang w:val="en-US" w:eastAsia="zh-CN" w:bidi="ar-SA"/>
    </w:rPr>
  </w:style>
  <w:style w:type="character" w:customStyle="1" w:styleId="80">
    <w:name w:val="标题 6 字符"/>
    <w:link w:val="10"/>
    <w:qFormat/>
    <w:uiPriority w:val="0"/>
    <w:rPr>
      <w:rFonts w:ascii="Arial" w:hAnsi="Arial" w:eastAsia="黑体"/>
      <w:b/>
      <w:bCs/>
      <w:sz w:val="24"/>
      <w:szCs w:val="24"/>
    </w:rPr>
  </w:style>
  <w:style w:type="character" w:customStyle="1" w:styleId="81">
    <w:name w:val="标题 字符"/>
    <w:link w:val="41"/>
    <w:qFormat/>
    <w:uiPriority w:val="0"/>
    <w:rPr>
      <w:rFonts w:ascii="Arial" w:hAnsi="Arial"/>
      <w:b/>
      <w:sz w:val="32"/>
    </w:rPr>
  </w:style>
  <w:style w:type="character" w:customStyle="1" w:styleId="82">
    <w:name w:val="页眉 字符"/>
    <w:link w:val="31"/>
    <w:uiPriority w:val="0"/>
    <w:rPr>
      <w:rFonts w:ascii="宋体" w:hAnsi="宋体"/>
      <w:kern w:val="2"/>
      <w:sz w:val="18"/>
      <w:szCs w:val="18"/>
    </w:rPr>
  </w:style>
  <w:style w:type="character" w:customStyle="1" w:styleId="83">
    <w:name w:val="Intense Emphasis"/>
    <w:qFormat/>
    <w:uiPriority w:val="0"/>
    <w:rPr>
      <w:rFonts w:eastAsia="仿宋_GB2312"/>
      <w:bCs/>
      <w:iCs/>
      <w:color w:val="auto"/>
      <w:sz w:val="32"/>
    </w:rPr>
  </w:style>
  <w:style w:type="character" w:customStyle="1" w:styleId="84">
    <w:name w:val="批注框文本 Char2"/>
    <w:semiHidden/>
    <w:uiPriority w:val="99"/>
    <w:rPr>
      <w:kern w:val="2"/>
      <w:sz w:val="18"/>
      <w:szCs w:val="18"/>
    </w:rPr>
  </w:style>
  <w:style w:type="character" w:customStyle="1" w:styleId="85">
    <w:name w:val="标题 1 字符"/>
    <w:link w:val="5"/>
    <w:uiPriority w:val="0"/>
    <w:rPr>
      <w:rFonts w:ascii="宋体" w:hAnsi="宋体" w:eastAsia="宋体"/>
      <w:b/>
      <w:snapToGrid/>
      <w:sz w:val="36"/>
      <w:szCs w:val="44"/>
    </w:rPr>
  </w:style>
  <w:style w:type="character" w:customStyle="1" w:styleId="86">
    <w:name w:val="正文文本 Char4"/>
    <w:link w:val="87"/>
    <w:semiHidden/>
    <w:qFormat/>
    <w:uiPriority w:val="0"/>
  </w:style>
  <w:style w:type="paragraph" w:customStyle="1" w:styleId="87">
    <w:name w:val="正文文本_0"/>
    <w:basedOn w:val="76"/>
    <w:link w:val="86"/>
    <w:semiHidden/>
    <w:qFormat/>
    <w:uiPriority w:val="0"/>
    <w:pPr>
      <w:spacing w:after="120"/>
    </w:pPr>
    <w:rPr>
      <w:rFonts w:ascii="Calibri"/>
    </w:rPr>
  </w:style>
  <w:style w:type="character" w:customStyle="1" w:styleId="88">
    <w:name w:val="正文文本缩进 2 字符"/>
    <w:link w:val="28"/>
    <w:qFormat/>
    <w:uiPriority w:val="0"/>
    <w:rPr>
      <w:rFonts w:ascii="宋体" w:hAnsi="宋体"/>
      <w:sz w:val="21"/>
    </w:rPr>
  </w:style>
  <w:style w:type="character" w:customStyle="1" w:styleId="89">
    <w:name w:val="Subtle Emphasis"/>
    <w:qFormat/>
    <w:uiPriority w:val="0"/>
    <w:rPr>
      <w:i/>
      <w:iCs/>
      <w:color w:val="808080"/>
    </w:rPr>
  </w:style>
  <w:style w:type="character" w:customStyle="1" w:styleId="90">
    <w:name w:val="页眉 Char1"/>
    <w:semiHidden/>
    <w:qFormat/>
    <w:uiPriority w:val="99"/>
    <w:rPr>
      <w:kern w:val="2"/>
      <w:sz w:val="18"/>
      <w:szCs w:val="18"/>
    </w:rPr>
  </w:style>
  <w:style w:type="character" w:customStyle="1" w:styleId="91">
    <w:name w:val="标题4 Char Char"/>
    <w:link w:val="92"/>
    <w:semiHidden/>
    <w:locked/>
    <w:uiPriority w:val="0"/>
    <w:rPr>
      <w:rFonts w:ascii="Arial" w:hAnsi="Arial" w:cs="Arial"/>
      <w:b/>
      <w:bCs/>
      <w:sz w:val="24"/>
      <w:szCs w:val="32"/>
    </w:rPr>
  </w:style>
  <w:style w:type="paragraph" w:customStyle="1" w:styleId="92">
    <w:name w:val="标题4"/>
    <w:basedOn w:val="6"/>
    <w:next w:val="22"/>
    <w:link w:val="91"/>
    <w:semiHidden/>
    <w:qFormat/>
    <w:uiPriority w:val="0"/>
    <w:pPr>
      <w:keepNext/>
      <w:keepLines/>
      <w:spacing w:before="260" w:after="260" w:line="410" w:lineRule="auto"/>
      <w:jc w:val="both"/>
    </w:pPr>
    <w:rPr>
      <w:rFonts w:ascii="Arial" w:hAnsi="Arial"/>
      <w:kern w:val="0"/>
      <w:sz w:val="24"/>
      <w:szCs w:val="32"/>
    </w:rPr>
  </w:style>
  <w:style w:type="character" w:customStyle="1" w:styleId="93">
    <w:name w:val="Book Title"/>
    <w:qFormat/>
    <w:uiPriority w:val="0"/>
    <w:rPr>
      <w:b/>
      <w:bCs/>
      <w:smallCaps/>
      <w:spacing w:val="5"/>
    </w:rPr>
  </w:style>
  <w:style w:type="character" w:customStyle="1" w:styleId="94">
    <w:name w:val="批注框文本 Char1"/>
    <w:qFormat/>
    <w:uiPriority w:val="0"/>
    <w:rPr>
      <w:kern w:val="2"/>
      <w:sz w:val="18"/>
      <w:szCs w:val="18"/>
    </w:rPr>
  </w:style>
  <w:style w:type="character" w:customStyle="1" w:styleId="95">
    <w:name w:val="明显引用 Char1"/>
    <w:qFormat/>
    <w:uiPriority w:val="30"/>
    <w:rPr>
      <w:b/>
      <w:bCs/>
      <w:i/>
      <w:iCs/>
      <w:color w:val="4F81BD"/>
      <w:kern w:val="2"/>
      <w:sz w:val="21"/>
      <w:szCs w:val="22"/>
    </w:rPr>
  </w:style>
  <w:style w:type="character" w:customStyle="1" w:styleId="96">
    <w:name w:val="标题 Char_0"/>
    <w:link w:val="97"/>
    <w:uiPriority w:val="0"/>
    <w:rPr>
      <w:rFonts w:ascii="Arial" w:hAnsi="Arial"/>
      <w:b/>
      <w:kern w:val="2"/>
      <w:sz w:val="32"/>
      <w:szCs w:val="22"/>
      <w:lang w:val="en-US" w:eastAsia="zh-CN"/>
    </w:rPr>
  </w:style>
  <w:style w:type="paragraph" w:customStyle="1" w:styleId="97">
    <w:name w:val="标题_0"/>
    <w:basedOn w:val="62"/>
    <w:link w:val="96"/>
    <w:qFormat/>
    <w:uiPriority w:val="0"/>
    <w:pPr>
      <w:widowControl/>
      <w:adjustRightInd w:val="0"/>
      <w:spacing w:before="240" w:after="60" w:line="420" w:lineRule="atLeast"/>
      <w:jc w:val="center"/>
      <w:textAlignment w:val="baseline"/>
      <w:outlineLvl w:val="0"/>
    </w:pPr>
    <w:rPr>
      <w:rFonts w:ascii="Arial" w:hAnsi="Arial"/>
      <w:b/>
      <w:sz w:val="32"/>
    </w:rPr>
  </w:style>
  <w:style w:type="character" w:customStyle="1" w:styleId="98">
    <w:name w:val="font161"/>
    <w:uiPriority w:val="0"/>
    <w:rPr>
      <w:b/>
      <w:bCs/>
      <w:sz w:val="32"/>
      <w:szCs w:val="32"/>
    </w:rPr>
  </w:style>
  <w:style w:type="character" w:customStyle="1" w:styleId="99">
    <w:name w:val="批注文字 Char1"/>
    <w:semiHidden/>
    <w:uiPriority w:val="99"/>
    <w:rPr>
      <w:kern w:val="2"/>
      <w:sz w:val="21"/>
      <w:szCs w:val="22"/>
    </w:rPr>
  </w:style>
  <w:style w:type="character" w:customStyle="1" w:styleId="100">
    <w:name w:val="标题 8 字符"/>
    <w:link w:val="12"/>
    <w:uiPriority w:val="0"/>
    <w:rPr>
      <w:rFonts w:ascii="Arial" w:hAnsi="Arial" w:eastAsia="黑体"/>
      <w:sz w:val="24"/>
      <w:szCs w:val="24"/>
    </w:rPr>
  </w:style>
  <w:style w:type="character" w:customStyle="1" w:styleId="101">
    <w:name w:val="标题 5 字符"/>
    <w:link w:val="9"/>
    <w:uiPriority w:val="0"/>
    <w:rPr>
      <w:b/>
      <w:bCs/>
      <w:sz w:val="28"/>
      <w:szCs w:val="28"/>
    </w:rPr>
  </w:style>
  <w:style w:type="character" w:customStyle="1" w:styleId="102">
    <w:name w:val="标题 3 Char_1"/>
    <w:uiPriority w:val="0"/>
    <w:rPr>
      <w:rFonts w:ascii="Calibri" w:hAnsi="Calibri" w:eastAsia="宋体" w:cs="Times New Roman"/>
      <w:b/>
      <w:bCs/>
      <w:sz w:val="24"/>
    </w:rPr>
  </w:style>
  <w:style w:type="character" w:customStyle="1" w:styleId="103">
    <w:name w:val="页脚 字符"/>
    <w:link w:val="30"/>
    <w:uiPriority w:val="0"/>
    <w:rPr>
      <w:kern w:val="2"/>
      <w:sz w:val="18"/>
      <w:szCs w:val="18"/>
    </w:rPr>
  </w:style>
  <w:style w:type="character" w:customStyle="1" w:styleId="104">
    <w:name w:val="页脚 Char1"/>
    <w:semiHidden/>
    <w:uiPriority w:val="99"/>
    <w:rPr>
      <w:kern w:val="2"/>
      <w:sz w:val="18"/>
      <w:szCs w:val="18"/>
    </w:rPr>
  </w:style>
  <w:style w:type="character" w:customStyle="1" w:styleId="105">
    <w:name w:val="标题 4 字符"/>
    <w:link w:val="8"/>
    <w:uiPriority w:val="0"/>
    <w:rPr>
      <w:rFonts w:ascii="宋体" w:hAnsi="宋体"/>
      <w:kern w:val="2"/>
      <w:sz w:val="24"/>
      <w:szCs w:val="28"/>
    </w:rPr>
  </w:style>
  <w:style w:type="character" w:customStyle="1" w:styleId="106">
    <w:name w:val="批注主题 字符"/>
    <w:link w:val="42"/>
    <w:semiHidden/>
    <w:uiPriority w:val="0"/>
    <w:rPr>
      <w:rFonts w:ascii="宋体" w:hAnsi="宋体"/>
      <w:b/>
      <w:bCs/>
      <w:kern w:val="2"/>
      <w:sz w:val="21"/>
      <w:szCs w:val="24"/>
    </w:rPr>
  </w:style>
  <w:style w:type="character" w:customStyle="1" w:styleId="107">
    <w:name w:val="正文文本缩进 字符1"/>
    <w:link w:val="3"/>
    <w:uiPriority w:val="0"/>
    <w:rPr>
      <w:rFonts w:ascii="宋体" w:hAnsi="宋体"/>
      <w:kern w:val="2"/>
      <w:sz w:val="21"/>
      <w:szCs w:val="24"/>
    </w:rPr>
  </w:style>
  <w:style w:type="character" w:customStyle="1" w:styleId="108">
    <w:name w:val="副标题 字符"/>
    <w:link w:val="34"/>
    <w:uiPriority w:val="0"/>
    <w:rPr>
      <w:rFonts w:ascii="Cambria" w:hAnsi="Cambria" w:eastAsia="华文楷体"/>
      <w:b/>
      <w:bCs/>
      <w:kern w:val="28"/>
      <w:sz w:val="32"/>
      <w:szCs w:val="32"/>
      <w:lang w:bidi="ar-SA"/>
    </w:rPr>
  </w:style>
  <w:style w:type="character" w:customStyle="1" w:styleId="109">
    <w:name w:val="正文文本缩进 2 Char1"/>
    <w:semiHidden/>
    <w:uiPriority w:val="99"/>
    <w:rPr>
      <w:rFonts w:hint="default" w:ascii="Times New Roman" w:hAnsi="Times New Roman" w:eastAsia="宋体" w:cs="Times New Roman"/>
      <w:szCs w:val="24"/>
    </w:rPr>
  </w:style>
  <w:style w:type="character" w:customStyle="1" w:styleId="110">
    <w:name w:val="正文文本 字符"/>
    <w:link w:val="21"/>
    <w:uiPriority w:val="0"/>
    <w:rPr>
      <w:rFonts w:ascii="宋体" w:hAnsi="宋体"/>
      <w:kern w:val="2"/>
      <w:sz w:val="21"/>
      <w:szCs w:val="24"/>
    </w:rPr>
  </w:style>
  <w:style w:type="character" w:customStyle="1" w:styleId="111">
    <w:name w:val="标题 3 Char_0"/>
    <w:link w:val="112"/>
    <w:uiPriority w:val="9"/>
    <w:rPr>
      <w:rFonts w:ascii="Calibri" w:hAnsi="Calibri"/>
      <w:b/>
      <w:bCs/>
      <w:kern w:val="2"/>
      <w:sz w:val="32"/>
      <w:szCs w:val="32"/>
    </w:rPr>
  </w:style>
  <w:style w:type="paragraph" w:customStyle="1" w:styleId="112">
    <w:name w:val="标题 3_1"/>
    <w:basedOn w:val="113"/>
    <w:next w:val="113"/>
    <w:link w:val="111"/>
    <w:unhideWhenUsed/>
    <w:qFormat/>
    <w:uiPriority w:val="9"/>
    <w:pPr>
      <w:keepNext/>
      <w:keepLines/>
      <w:spacing w:before="260" w:after="260" w:line="416" w:lineRule="auto"/>
      <w:outlineLvl w:val="2"/>
    </w:pPr>
    <w:rPr>
      <w:rFonts w:ascii="Calibri"/>
      <w:b/>
      <w:bCs/>
      <w:sz w:val="32"/>
      <w:szCs w:val="32"/>
    </w:rPr>
  </w:style>
  <w:style w:type="paragraph" w:customStyle="1" w:styleId="113">
    <w:name w:val="正文_1"/>
    <w:qFormat/>
    <w:uiPriority w:val="0"/>
    <w:pPr>
      <w:widowControl w:val="0"/>
      <w:jc w:val="both"/>
    </w:pPr>
    <w:rPr>
      <w:rFonts w:ascii="仿宋_GB2312" w:hAnsi="Calibri" w:eastAsia="仿宋_GB2312" w:cs="Times New Roman"/>
      <w:kern w:val="2"/>
      <w:sz w:val="21"/>
      <w:szCs w:val="22"/>
      <w:lang w:val="en-US" w:eastAsia="zh-CN" w:bidi="ar-SA"/>
    </w:rPr>
  </w:style>
  <w:style w:type="character" w:customStyle="1" w:styleId="114">
    <w:name w:val="正文文本 Char1"/>
    <w:uiPriority w:val="0"/>
    <w:rPr>
      <w:kern w:val="2"/>
      <w:sz w:val="21"/>
      <w:szCs w:val="22"/>
    </w:rPr>
  </w:style>
  <w:style w:type="character" w:customStyle="1" w:styleId="115">
    <w:name w:val="批注文字 Char Char"/>
    <w:uiPriority w:val="0"/>
    <w:rPr>
      <w:rFonts w:hint="eastAsia" w:ascii="宋体" w:hAnsi="Times New Roman" w:eastAsia="宋体" w:cs="Times New Roman"/>
      <w:sz w:val="28"/>
      <w:szCs w:val="20"/>
    </w:rPr>
  </w:style>
  <w:style w:type="character" w:customStyle="1" w:styleId="116">
    <w:name w:val="批注主题 Char1"/>
    <w:uiPriority w:val="0"/>
    <w:rPr>
      <w:rFonts w:hint="default" w:ascii="Times New Roman" w:hAnsi="Times New Roman" w:eastAsia="宋体" w:cs="Times New Roman"/>
      <w:b/>
      <w:bCs/>
      <w:szCs w:val="24"/>
    </w:rPr>
  </w:style>
  <w:style w:type="character" w:customStyle="1" w:styleId="117">
    <w:name w:val="引用 字符"/>
    <w:link w:val="118"/>
    <w:uiPriority w:val="0"/>
    <w:rPr>
      <w:rFonts w:ascii="Calibri" w:hAnsi="Calibri"/>
      <w:i/>
      <w:iCs/>
      <w:color w:val="000000"/>
      <w:kern w:val="2"/>
      <w:sz w:val="21"/>
      <w:szCs w:val="22"/>
    </w:rPr>
  </w:style>
  <w:style w:type="paragraph" w:styleId="118">
    <w:name w:val="Quote"/>
    <w:basedOn w:val="1"/>
    <w:next w:val="1"/>
    <w:link w:val="117"/>
    <w:qFormat/>
    <w:uiPriority w:val="0"/>
    <w:rPr>
      <w:rFonts w:ascii="Calibri"/>
      <w:i/>
      <w:iCs/>
      <w:color w:val="000000"/>
    </w:rPr>
  </w:style>
  <w:style w:type="character" w:customStyle="1" w:styleId="119">
    <w:name w:val="批注框文本 Char_0"/>
    <w:link w:val="120"/>
    <w:semiHidden/>
    <w:uiPriority w:val="0"/>
    <w:rPr>
      <w:rFonts w:ascii="宋体" w:hAnsi="宋体"/>
      <w:kern w:val="2"/>
      <w:sz w:val="18"/>
      <w:szCs w:val="18"/>
      <w:lang w:val="en-US" w:eastAsia="zh-CN"/>
    </w:rPr>
  </w:style>
  <w:style w:type="paragraph" w:customStyle="1" w:styleId="120">
    <w:name w:val="批注框文本_0"/>
    <w:basedOn w:val="62"/>
    <w:link w:val="119"/>
    <w:semiHidden/>
    <w:uiPriority w:val="0"/>
    <w:pPr>
      <w:widowControl/>
      <w:jc w:val="left"/>
    </w:pPr>
    <w:rPr>
      <w:rFonts w:ascii="宋体" w:hAnsi="宋体"/>
      <w:sz w:val="18"/>
      <w:szCs w:val="18"/>
    </w:rPr>
  </w:style>
  <w:style w:type="character" w:customStyle="1" w:styleId="121">
    <w:name w:val="引用 Char2"/>
    <w:uiPriority w:val="29"/>
    <w:rPr>
      <w:i/>
      <w:iCs/>
      <w:color w:val="000000"/>
      <w:kern w:val="2"/>
      <w:sz w:val="21"/>
      <w:szCs w:val="22"/>
    </w:rPr>
  </w:style>
  <w:style w:type="character" w:customStyle="1" w:styleId="122">
    <w:name w:val="日期 Char2"/>
    <w:semiHidden/>
    <w:uiPriority w:val="99"/>
    <w:rPr>
      <w:kern w:val="2"/>
      <w:sz w:val="21"/>
      <w:szCs w:val="22"/>
    </w:rPr>
  </w:style>
  <w:style w:type="character" w:customStyle="1" w:styleId="123">
    <w:name w:val="标题 2 Char_2"/>
    <w:link w:val="124"/>
    <w:uiPriority w:val="0"/>
    <w:rPr>
      <w:rFonts w:ascii="Calibri" w:hAnsi="Calibri"/>
      <w:b/>
      <w:bCs/>
      <w:kern w:val="2"/>
      <w:sz w:val="28"/>
      <w:szCs w:val="28"/>
      <w:lang w:val="en-US" w:eastAsia="zh-CN"/>
    </w:rPr>
  </w:style>
  <w:style w:type="paragraph" w:customStyle="1" w:styleId="124">
    <w:name w:val="标题 2_2"/>
    <w:basedOn w:val="125"/>
    <w:next w:val="125"/>
    <w:link w:val="123"/>
    <w:qFormat/>
    <w:uiPriority w:val="0"/>
    <w:pPr>
      <w:widowControl/>
      <w:spacing w:line="600" w:lineRule="exact"/>
      <w:contextualSpacing/>
      <w:jc w:val="center"/>
      <w:outlineLvl w:val="1"/>
    </w:pPr>
    <w:rPr>
      <w:rFonts w:ascii="Calibri"/>
      <w:b/>
      <w:bCs/>
      <w:sz w:val="28"/>
      <w:szCs w:val="28"/>
    </w:rPr>
  </w:style>
  <w:style w:type="paragraph" w:customStyle="1" w:styleId="125">
    <w:name w:val="正文_1_2"/>
    <w:qFormat/>
    <w:uiPriority w:val="0"/>
    <w:pPr>
      <w:widowControl w:val="0"/>
      <w:jc w:val="both"/>
    </w:pPr>
    <w:rPr>
      <w:rFonts w:ascii="仿宋_GB2312" w:hAnsi="Calibri" w:eastAsia="仿宋_GB2312" w:cs="Times New Roman"/>
      <w:kern w:val="2"/>
      <w:sz w:val="21"/>
      <w:szCs w:val="22"/>
      <w:lang w:val="en-US" w:eastAsia="zh-CN" w:bidi="ar-SA"/>
    </w:rPr>
  </w:style>
  <w:style w:type="character" w:customStyle="1" w:styleId="126">
    <w:name w:val="标题5 Char Char"/>
    <w:link w:val="127"/>
    <w:semiHidden/>
    <w:locked/>
    <w:uiPriority w:val="0"/>
    <w:rPr>
      <w:rFonts w:ascii="Arial" w:hAnsi="Arial" w:cs="Arial"/>
      <w:b/>
      <w:bCs/>
      <w:sz w:val="24"/>
      <w:szCs w:val="32"/>
    </w:rPr>
  </w:style>
  <w:style w:type="paragraph" w:customStyle="1" w:styleId="127">
    <w:name w:val="标题5"/>
    <w:basedOn w:val="7"/>
    <w:link w:val="126"/>
    <w:semiHidden/>
    <w:uiPriority w:val="0"/>
    <w:pPr>
      <w:spacing w:before="260" w:after="260" w:line="410" w:lineRule="auto"/>
      <w:jc w:val="both"/>
    </w:pPr>
    <w:rPr>
      <w:rFonts w:ascii="Arial" w:hAnsi="Arial"/>
      <w:kern w:val="0"/>
      <w:szCs w:val="32"/>
    </w:rPr>
  </w:style>
  <w:style w:type="character" w:customStyle="1" w:styleId="128">
    <w:name w:val="副标题 Char1"/>
    <w:uiPriority w:val="11"/>
    <w:rPr>
      <w:rFonts w:hint="default" w:ascii="Cambria" w:hAnsi="Cambria" w:cs="Times New Roman"/>
      <w:b/>
      <w:bCs/>
      <w:kern w:val="28"/>
      <w:sz w:val="32"/>
      <w:szCs w:val="32"/>
    </w:rPr>
  </w:style>
  <w:style w:type="character" w:customStyle="1" w:styleId="129">
    <w:name w:val="标题 2 字符"/>
    <w:link w:val="6"/>
    <w:uiPriority w:val="0"/>
    <w:rPr>
      <w:rFonts w:ascii="宋体" w:hAnsi="宋体"/>
      <w:b/>
      <w:bCs/>
      <w:kern w:val="2"/>
      <w:sz w:val="28"/>
      <w:szCs w:val="28"/>
    </w:rPr>
  </w:style>
  <w:style w:type="character" w:customStyle="1" w:styleId="130">
    <w:name w:val="标题 3 字符"/>
    <w:link w:val="7"/>
    <w:uiPriority w:val="0"/>
    <w:rPr>
      <w:rFonts w:ascii="宋体" w:hAnsi="宋体"/>
      <w:b/>
      <w:bCs/>
      <w:kern w:val="2"/>
      <w:sz w:val="24"/>
      <w:szCs w:val="24"/>
    </w:rPr>
  </w:style>
  <w:style w:type="character" w:customStyle="1" w:styleId="131">
    <w:name w:val="textcontents"/>
    <w:uiPriority w:val="0"/>
    <w:rPr>
      <w:rFonts w:hint="default" w:ascii="Times New Roman" w:hAnsi="Times New Roman" w:cs="Times New Roman"/>
    </w:rPr>
  </w:style>
  <w:style w:type="character" w:customStyle="1" w:styleId="132">
    <w:name w:val="标题 Char1"/>
    <w:uiPriority w:val="10"/>
    <w:rPr>
      <w:rFonts w:hint="default" w:ascii="Cambria" w:hAnsi="Cambria" w:cs="Times New Roman"/>
      <w:b/>
      <w:bCs/>
      <w:kern w:val="2"/>
      <w:sz w:val="32"/>
      <w:szCs w:val="32"/>
    </w:rPr>
  </w:style>
  <w:style w:type="character" w:customStyle="1" w:styleId="133">
    <w:name w:val="正文文本缩进 字符"/>
    <w:link w:val="134"/>
    <w:uiPriority w:val="0"/>
    <w:rPr>
      <w:kern w:val="2"/>
      <w:sz w:val="21"/>
      <w:szCs w:val="24"/>
      <w:lang w:val="en-US" w:eastAsia="zh-CN"/>
    </w:rPr>
  </w:style>
  <w:style w:type="paragraph" w:customStyle="1" w:styleId="134">
    <w:name w:val="正文文本缩进_0"/>
    <w:basedOn w:val="135"/>
    <w:link w:val="133"/>
    <w:uiPriority w:val="0"/>
    <w:pPr>
      <w:spacing w:after="120"/>
      <w:ind w:left="420" w:leftChars="200"/>
    </w:pPr>
    <w:rPr>
      <w:kern w:val="2"/>
      <w:sz w:val="21"/>
      <w:szCs w:val="24"/>
    </w:rPr>
  </w:style>
  <w:style w:type="paragraph" w:customStyle="1" w:styleId="135">
    <w:name w:val="正文_1_0"/>
    <w:qFormat/>
    <w:uiPriority w:val="0"/>
    <w:pPr>
      <w:widowControl w:val="0"/>
      <w:jc w:val="both"/>
    </w:pPr>
    <w:rPr>
      <w:rFonts w:ascii="仿宋_GB2312" w:hAnsi="Calibri" w:eastAsia="仿宋_GB2312" w:cs="Times New Roman"/>
      <w:lang w:val="en-US" w:eastAsia="zh-CN" w:bidi="ar-SA"/>
    </w:rPr>
  </w:style>
  <w:style w:type="character" w:customStyle="1" w:styleId="136">
    <w:name w:val="正文文本缩进 3 字符"/>
    <w:link w:val="36"/>
    <w:uiPriority w:val="0"/>
    <w:rPr>
      <w:rFonts w:eastAsia="宋体"/>
      <w:kern w:val="2"/>
      <w:sz w:val="16"/>
      <w:szCs w:val="16"/>
      <w:lang w:val="en-US" w:eastAsia="zh-CN" w:bidi="ar-SA"/>
    </w:rPr>
  </w:style>
  <w:style w:type="character" w:customStyle="1" w:styleId="137">
    <w:name w:val="Subtle Reference"/>
    <w:qFormat/>
    <w:uiPriority w:val="0"/>
    <w:rPr>
      <w:smallCaps/>
      <w:color w:val="C0504D"/>
      <w:u w:val="single"/>
    </w:rPr>
  </w:style>
  <w:style w:type="character" w:customStyle="1" w:styleId="138">
    <w:name w:val="引用 Char1"/>
    <w:uiPriority w:val="29"/>
    <w:rPr>
      <w:i/>
      <w:iCs/>
      <w:color w:val="000000"/>
      <w:kern w:val="2"/>
      <w:sz w:val="21"/>
      <w:szCs w:val="22"/>
    </w:rPr>
  </w:style>
  <w:style w:type="character" w:customStyle="1" w:styleId="139">
    <w:name w:val="文档结构图 字符"/>
    <w:link w:val="18"/>
    <w:semiHidden/>
    <w:uiPriority w:val="0"/>
    <w:rPr>
      <w:rFonts w:ascii="宋体" w:hAnsi="宋体"/>
      <w:kern w:val="2"/>
      <w:sz w:val="21"/>
      <w:szCs w:val="24"/>
      <w:shd w:val="clear" w:color="auto" w:fill="000080"/>
    </w:rPr>
  </w:style>
  <w:style w:type="character" w:customStyle="1" w:styleId="140">
    <w:name w:val="Char Char4"/>
    <w:semiHidden/>
    <w:uiPriority w:val="0"/>
    <w:rPr>
      <w:kern w:val="2"/>
      <w:sz w:val="21"/>
      <w:szCs w:val="24"/>
    </w:rPr>
  </w:style>
  <w:style w:type="character" w:customStyle="1" w:styleId="141">
    <w:name w:val="批注主题 Char2"/>
    <w:semiHidden/>
    <w:uiPriority w:val="99"/>
    <w:rPr>
      <w:b/>
      <w:bCs/>
      <w:kern w:val="2"/>
      <w:sz w:val="21"/>
      <w:szCs w:val="22"/>
    </w:rPr>
  </w:style>
  <w:style w:type="character" w:customStyle="1" w:styleId="142">
    <w:name w:val="正文文本 Char2"/>
    <w:semiHidden/>
    <w:uiPriority w:val="99"/>
    <w:rPr>
      <w:kern w:val="2"/>
      <w:sz w:val="21"/>
      <w:szCs w:val="22"/>
    </w:rPr>
  </w:style>
  <w:style w:type="character" w:customStyle="1" w:styleId="143">
    <w:name w:val="批注框文本 字符"/>
    <w:link w:val="29"/>
    <w:semiHidden/>
    <w:uiPriority w:val="0"/>
    <w:rPr>
      <w:rFonts w:ascii="宋体" w:hAnsi="宋体"/>
      <w:kern w:val="2"/>
      <w:sz w:val="18"/>
      <w:szCs w:val="18"/>
    </w:rPr>
  </w:style>
  <w:style w:type="character" w:customStyle="1" w:styleId="144">
    <w:name w:val="文档结构图 Char2"/>
    <w:semiHidden/>
    <w:uiPriority w:val="99"/>
    <w:rPr>
      <w:rFonts w:hint="eastAsia" w:ascii="宋体" w:hAnsi="宋体" w:eastAsia="宋体"/>
      <w:kern w:val="2"/>
      <w:sz w:val="18"/>
      <w:szCs w:val="18"/>
    </w:rPr>
  </w:style>
  <w:style w:type="character" w:customStyle="1" w:styleId="145">
    <w:name w:val="Intense Reference"/>
    <w:qFormat/>
    <w:uiPriority w:val="0"/>
    <w:rPr>
      <w:b/>
      <w:bCs/>
      <w:smallCaps/>
      <w:color w:val="C0504D"/>
      <w:spacing w:val="5"/>
      <w:u w:val="single"/>
    </w:rPr>
  </w:style>
  <w:style w:type="character" w:customStyle="1" w:styleId="146">
    <w:name w:val="文档结构图 Char1"/>
    <w:uiPriority w:val="0"/>
    <w:rPr>
      <w:rFonts w:hint="eastAsia" w:ascii="宋体" w:hAnsi="宋体" w:eastAsia="宋体"/>
      <w:kern w:val="2"/>
      <w:sz w:val="18"/>
      <w:szCs w:val="18"/>
    </w:rPr>
  </w:style>
  <w:style w:type="character" w:customStyle="1" w:styleId="147">
    <w:name w:val="批注文字 字符"/>
    <w:link w:val="19"/>
    <w:uiPriority w:val="0"/>
    <w:rPr>
      <w:rFonts w:eastAsia="宋体"/>
      <w:kern w:val="2"/>
      <w:sz w:val="21"/>
      <w:szCs w:val="24"/>
      <w:lang w:val="en-US" w:eastAsia="zh-CN" w:bidi="ar-SA"/>
    </w:rPr>
  </w:style>
  <w:style w:type="character" w:customStyle="1" w:styleId="148">
    <w:name w:val="标题 7 字符"/>
    <w:link w:val="11"/>
    <w:uiPriority w:val="0"/>
    <w:rPr>
      <w:rFonts w:ascii="宋体" w:hAnsi="宋体"/>
      <w:b/>
      <w:bCs/>
      <w:sz w:val="24"/>
      <w:szCs w:val="24"/>
    </w:rPr>
  </w:style>
  <w:style w:type="paragraph" w:styleId="149">
    <w:name w:val="No Spacing"/>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150">
    <w:name w:val="Char1"/>
    <w:basedOn w:val="43"/>
    <w:uiPriority w:val="0"/>
    <w:pPr>
      <w:spacing w:after="0" w:line="360" w:lineRule="auto"/>
      <w:ind w:firstLine="200" w:firstLineChars="200"/>
    </w:pPr>
    <w:rPr>
      <w:rFonts w:ascii="Tahoma" w:hAnsi="Tahoma"/>
      <w:sz w:val="36"/>
      <w:szCs w:val="36"/>
    </w:rPr>
  </w:style>
  <w:style w:type="paragraph" w:customStyle="1" w:styleId="151">
    <w:name w:val="正文缩进_0"/>
    <w:basedOn w:val="76"/>
    <w:unhideWhenUsed/>
    <w:qFormat/>
    <w:uiPriority w:val="0"/>
    <w:pPr>
      <w:ind w:firstLine="420" w:firstLineChars="200"/>
    </w:pPr>
    <w:rPr>
      <w:rFonts w:ascii="Times New Roman" w:hAnsi="Times New Roman"/>
    </w:rPr>
  </w:style>
  <w:style w:type="paragraph" w:customStyle="1" w:styleId="152">
    <w:name w:val="Default"/>
    <w:qFormat/>
    <w:uiPriority w:val="0"/>
    <w:pPr>
      <w:widowControl w:val="0"/>
      <w:autoSpaceDE w:val="0"/>
      <w:autoSpaceDN w:val="0"/>
      <w:adjustRightInd w:val="0"/>
    </w:pPr>
    <w:rPr>
      <w:rFonts w:ascii="宋体" w:hAnsi="Calibri" w:eastAsia="仿宋_GB2312" w:cs="宋体"/>
      <w:color w:val="000000"/>
      <w:sz w:val="24"/>
      <w:szCs w:val="24"/>
      <w:lang w:val="en-US" w:eastAsia="zh-CN" w:bidi="ar-SA"/>
    </w:rPr>
  </w:style>
  <w:style w:type="paragraph" w:customStyle="1" w:styleId="153">
    <w:name w:val="xl2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54">
    <w:name w:val="xl4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rPr>
  </w:style>
  <w:style w:type="paragraph" w:customStyle="1" w:styleId="155">
    <w:name w:val="xl4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rPr>
  </w:style>
  <w:style w:type="paragraph" w:customStyle="1" w:styleId="156">
    <w:name w:val="font5"/>
    <w:basedOn w:val="1"/>
    <w:uiPriority w:val="0"/>
    <w:pPr>
      <w:widowControl/>
      <w:spacing w:before="100" w:beforeAutospacing="1" w:after="100" w:afterAutospacing="1"/>
      <w:jc w:val="left"/>
    </w:pPr>
    <w:rPr>
      <w:rFonts w:hint="eastAsia" w:ascii="宋体" w:hAnsi="宋体"/>
      <w:kern w:val="0"/>
      <w:sz w:val="18"/>
      <w:szCs w:val="18"/>
    </w:rPr>
  </w:style>
  <w:style w:type="paragraph" w:customStyle="1" w:styleId="157">
    <w:name w:val="正文_1_2_0"/>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158">
    <w:name w:val="xl51"/>
    <w:basedOn w:val="1"/>
    <w:uiPriority w:val="0"/>
    <w:pPr>
      <w:widowControl/>
      <w:pBdr>
        <w:bottom w:val="single" w:color="auto" w:sz="4" w:space="0"/>
      </w:pBdr>
      <w:spacing w:before="100" w:beforeAutospacing="1" w:after="100" w:afterAutospacing="1"/>
      <w:jc w:val="left"/>
    </w:pPr>
    <w:rPr>
      <w:rFonts w:ascii="宋体" w:hAnsi="宋体"/>
      <w:kern w:val="0"/>
      <w:sz w:val="20"/>
      <w:szCs w:val="20"/>
    </w:rPr>
  </w:style>
  <w:style w:type="paragraph" w:customStyle="1" w:styleId="159">
    <w:name w:val="Normal_0"/>
    <w:qFormat/>
    <w:uiPriority w:val="0"/>
    <w:pPr>
      <w:widowControl w:val="0"/>
      <w:jc w:val="both"/>
    </w:pPr>
    <w:rPr>
      <w:rFonts w:ascii="仿宋_GB2312" w:hAnsi="Calibri" w:eastAsia="Times New Roman" w:cs="Times New Roman"/>
      <w:sz w:val="21"/>
      <w:szCs w:val="22"/>
      <w:lang w:val="en-US" w:eastAsia="zh-CN" w:bidi="ar-SA"/>
    </w:rPr>
  </w:style>
  <w:style w:type="paragraph" w:customStyle="1" w:styleId="160">
    <w:name w:val="表格"/>
    <w:basedOn w:val="1"/>
    <w:uiPriority w:val="0"/>
    <w:pPr>
      <w:jc w:val="center"/>
      <w:textAlignment w:val="center"/>
    </w:pPr>
    <w:rPr>
      <w:rFonts w:ascii="华文细黑" w:hAnsi="华文细黑"/>
      <w:kern w:val="0"/>
      <w:szCs w:val="20"/>
    </w:rPr>
  </w:style>
  <w:style w:type="paragraph" w:customStyle="1" w:styleId="161">
    <w:name w:val="xl34"/>
    <w:basedOn w:val="1"/>
    <w:uiPriority w:val="0"/>
    <w:pPr>
      <w:widowControl/>
      <w:spacing w:before="100" w:beforeAutospacing="1" w:after="100" w:afterAutospacing="1"/>
      <w:jc w:val="left"/>
    </w:pPr>
    <w:rPr>
      <w:rFonts w:ascii="宋体" w:hAnsi="宋体"/>
      <w:b/>
      <w:bCs/>
      <w:kern w:val="0"/>
      <w:sz w:val="24"/>
    </w:rPr>
  </w:style>
  <w:style w:type="paragraph" w:customStyle="1" w:styleId="162">
    <w:name w:val="p20"/>
    <w:basedOn w:val="113"/>
    <w:uiPriority w:val="0"/>
    <w:pPr>
      <w:widowControl/>
    </w:pPr>
    <w:rPr>
      <w:rFonts w:ascii="宋体" w:hAnsi="宋体"/>
      <w:kern w:val="0"/>
      <w:szCs w:val="20"/>
    </w:rPr>
  </w:style>
  <w:style w:type="paragraph" w:customStyle="1" w:styleId="163">
    <w:name w:val="xl36"/>
    <w:basedOn w:val="1"/>
    <w:uiPriority w:val="0"/>
    <w:pPr>
      <w:widowControl/>
      <w:pBdr>
        <w:top w:val="single" w:color="auto" w:sz="4" w:space="0"/>
        <w:bottom w:val="single" w:color="auto" w:sz="4" w:space="0"/>
        <w:right w:val="single" w:color="auto" w:sz="4" w:space="0"/>
      </w:pBdr>
      <w:spacing w:before="100" w:beforeAutospacing="1" w:after="100" w:afterAutospacing="1"/>
      <w:jc w:val="right"/>
    </w:pPr>
    <w:rPr>
      <w:rFonts w:ascii="宋体" w:hAnsi="宋体"/>
      <w:kern w:val="0"/>
      <w:sz w:val="20"/>
      <w:szCs w:val="20"/>
    </w:rPr>
  </w:style>
  <w:style w:type="paragraph" w:customStyle="1" w:styleId="164">
    <w:name w:val="TOC Heading"/>
    <w:basedOn w:val="5"/>
    <w:next w:val="1"/>
    <w:qFormat/>
    <w:uiPriority w:val="39"/>
    <w:pPr>
      <w:widowControl/>
      <w:overflowPunct/>
      <w:adjustRightInd/>
      <w:snapToGrid/>
      <w:spacing w:before="480" w:after="0" w:line="276" w:lineRule="auto"/>
      <w:jc w:val="left"/>
      <w:outlineLvl w:val="9"/>
    </w:pPr>
    <w:rPr>
      <w:rFonts w:ascii="Cambria" w:hAnsi="Cambria"/>
      <w:bCs/>
      <w:color w:val="365F91"/>
      <w:sz w:val="28"/>
      <w:szCs w:val="28"/>
    </w:rPr>
  </w:style>
  <w:style w:type="paragraph" w:customStyle="1" w:styleId="165">
    <w:name w:val="文"/>
    <w:basedOn w:val="1"/>
    <w:uiPriority w:val="0"/>
    <w:pPr>
      <w:tabs>
        <w:tab w:val="left" w:pos="1134"/>
      </w:tabs>
      <w:spacing w:before="20" w:after="40" w:line="300" w:lineRule="auto"/>
      <w:ind w:left="1134" w:firstLine="420"/>
    </w:pPr>
    <w:rPr>
      <w:rFonts w:ascii="Arial" w:hAnsi="Arial"/>
      <w:szCs w:val="20"/>
    </w:rPr>
  </w:style>
  <w:style w:type="paragraph" w:customStyle="1" w:styleId="166">
    <w:name w:val="Normal_19_1"/>
    <w:qFormat/>
    <w:uiPriority w:val="0"/>
    <w:pPr>
      <w:spacing w:line="384" w:lineRule="auto"/>
    </w:pPr>
    <w:rPr>
      <w:rFonts w:ascii="宋体" w:hAnsi="宋体" w:eastAsia="仿宋_GB2312" w:cs="Times New Roman"/>
      <w:sz w:val="24"/>
      <w:szCs w:val="24"/>
      <w:lang w:val="en-US" w:eastAsia="zh-CN" w:bidi="ar-SA"/>
    </w:rPr>
  </w:style>
  <w:style w:type="paragraph" w:customStyle="1" w:styleId="167">
    <w:name w:val="CM69"/>
    <w:basedOn w:val="152"/>
    <w:next w:val="152"/>
    <w:qFormat/>
    <w:uiPriority w:val="0"/>
    <w:pPr>
      <w:spacing w:after="953"/>
    </w:pPr>
    <w:rPr>
      <w:rFonts w:ascii="仿宋_GB2312" w:hAnsi="Times New Roman" w:cs="Times New Roman"/>
      <w:color w:val="auto"/>
    </w:rPr>
  </w:style>
  <w:style w:type="paragraph" w:customStyle="1" w:styleId="168">
    <w:name w:val="xl3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69">
    <w:name w:val="正文_0_1"/>
    <w:qFormat/>
    <w:uiPriority w:val="0"/>
    <w:pPr>
      <w:widowControl w:val="0"/>
      <w:jc w:val="both"/>
    </w:pPr>
    <w:rPr>
      <w:rFonts w:ascii="仿宋_GB2312" w:hAnsi="Calibri" w:eastAsia="仿宋_GB2312" w:cs="Times New Roman"/>
      <w:kern w:val="2"/>
      <w:sz w:val="28"/>
      <w:szCs w:val="22"/>
      <w:lang w:val="en-US" w:eastAsia="zh-CN" w:bidi="ar-SA"/>
    </w:rPr>
  </w:style>
  <w:style w:type="paragraph" w:customStyle="1" w:styleId="170">
    <w:name w:val="默认段落字体 Para Char Char Char Char"/>
    <w:basedOn w:val="1"/>
    <w:uiPriority w:val="0"/>
    <w:pPr>
      <w:spacing w:line="240" w:lineRule="atLeast"/>
      <w:ind w:left="420" w:firstLine="420"/>
    </w:pPr>
    <w:rPr>
      <w:rFonts w:ascii="Calibri"/>
    </w:rPr>
  </w:style>
  <w:style w:type="paragraph" w:customStyle="1" w:styleId="171">
    <w:name w:val="xl4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72">
    <w:name w:val="xl2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73">
    <w:name w:val="Char11"/>
    <w:basedOn w:val="43"/>
    <w:uiPriority w:val="0"/>
    <w:pPr>
      <w:spacing w:after="0" w:line="360" w:lineRule="auto"/>
      <w:ind w:firstLine="200" w:firstLineChars="200"/>
    </w:pPr>
    <w:rPr>
      <w:rFonts w:ascii="Tahoma" w:hAnsi="Tahoma"/>
      <w:sz w:val="36"/>
      <w:szCs w:val="36"/>
    </w:rPr>
  </w:style>
  <w:style w:type="paragraph" w:customStyle="1" w:styleId="174">
    <w:name w:val="font8"/>
    <w:basedOn w:val="1"/>
    <w:uiPriority w:val="0"/>
    <w:pPr>
      <w:widowControl/>
      <w:spacing w:before="100" w:beforeAutospacing="1" w:after="100" w:afterAutospacing="1"/>
      <w:jc w:val="left"/>
    </w:pPr>
    <w:rPr>
      <w:kern w:val="0"/>
      <w:sz w:val="20"/>
      <w:szCs w:val="20"/>
    </w:rPr>
  </w:style>
  <w:style w:type="paragraph" w:customStyle="1" w:styleId="175">
    <w:name w:val="标题 4_1_0"/>
    <w:basedOn w:val="135"/>
    <w:next w:val="135"/>
    <w:uiPriority w:val="9"/>
    <w:pPr>
      <w:keepNext/>
      <w:keepLines/>
      <w:spacing w:before="280" w:after="290" w:line="376" w:lineRule="auto"/>
      <w:outlineLvl w:val="3"/>
    </w:pPr>
    <w:rPr>
      <w:rFonts w:ascii="Arial" w:hAnsi="Arial" w:eastAsia="黑体"/>
      <w:b/>
      <w:bCs/>
      <w:kern w:val="2"/>
      <w:sz w:val="28"/>
      <w:szCs w:val="28"/>
    </w:rPr>
  </w:style>
  <w:style w:type="paragraph" w:customStyle="1" w:styleId="176">
    <w:name w:val="CM36"/>
    <w:basedOn w:val="152"/>
    <w:next w:val="152"/>
    <w:qFormat/>
    <w:uiPriority w:val="0"/>
    <w:pPr>
      <w:spacing w:line="473" w:lineRule="atLeast"/>
    </w:pPr>
    <w:rPr>
      <w:rFonts w:ascii="仿宋_GB2312" w:hAnsi="Times New Roman" w:cs="Times New Roman"/>
      <w:color w:val="auto"/>
    </w:rPr>
  </w:style>
  <w:style w:type="paragraph" w:styleId="177">
    <w:name w:val="List Paragraph"/>
    <w:basedOn w:val="1"/>
    <w:qFormat/>
    <w:uiPriority w:val="34"/>
    <w:pPr>
      <w:ind w:firstLine="420" w:firstLineChars="200"/>
    </w:pPr>
    <w:rPr>
      <w:rFonts w:ascii="Calibri"/>
    </w:rPr>
  </w:style>
  <w:style w:type="paragraph" w:customStyle="1" w:styleId="178">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179">
    <w:name w:val="Revision"/>
    <w:semiHidden/>
    <w:uiPriority w:val="0"/>
    <w:rPr>
      <w:rFonts w:ascii="仿宋_GB2312" w:hAnsi="Calibri" w:eastAsia="仿宋_GB2312" w:cs="Times New Roman"/>
      <w:kern w:val="2"/>
      <w:sz w:val="21"/>
      <w:szCs w:val="24"/>
      <w:lang w:val="en-US" w:eastAsia="zh-CN" w:bidi="ar-SA"/>
    </w:rPr>
  </w:style>
  <w:style w:type="paragraph" w:customStyle="1" w:styleId="180">
    <w:name w:val="正文_2_1"/>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181">
    <w:name w:val="xl2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kern w:val="0"/>
      <w:sz w:val="20"/>
      <w:szCs w:val="20"/>
    </w:rPr>
  </w:style>
  <w:style w:type="paragraph" w:customStyle="1" w:styleId="182">
    <w:name w:val="正文_24_0"/>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183">
    <w:name w:val="样式 标题 2 + Times New Roman 四号 非加粗 段前: 5 磅 段后: 0 磅 行距: 固定值 20..."/>
    <w:basedOn w:val="6"/>
    <w:uiPriority w:val="0"/>
    <w:pPr>
      <w:spacing w:before="100" w:line="400" w:lineRule="exact"/>
    </w:pPr>
    <w:rPr>
      <w:rFonts w:ascii="Times New Roman" w:hAnsi="Times New Roman" w:cs="宋体"/>
      <w:b w:val="0"/>
      <w:bCs w:val="0"/>
      <w:szCs w:val="20"/>
    </w:rPr>
  </w:style>
  <w:style w:type="paragraph" w:customStyle="1" w:styleId="184">
    <w:name w:val="flNote"/>
    <w:basedOn w:val="1"/>
    <w:semiHidden/>
    <w:uiPriority w:val="0"/>
    <w:pPr>
      <w:adjustRightInd w:val="0"/>
      <w:spacing w:before="320" w:after="160" w:line="360" w:lineRule="atLeast"/>
      <w:jc w:val="center"/>
    </w:pPr>
    <w:rPr>
      <w:rFonts w:ascii="Arial" w:hAnsi="Times New Roman" w:eastAsia="黑体"/>
      <w:kern w:val="0"/>
      <w:sz w:val="30"/>
      <w:szCs w:val="20"/>
    </w:rPr>
  </w:style>
  <w:style w:type="paragraph" w:customStyle="1" w:styleId="185">
    <w:name w:val="xl4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kern w:val="0"/>
      <w:sz w:val="20"/>
      <w:szCs w:val="20"/>
    </w:rPr>
  </w:style>
  <w:style w:type="paragraph" w:customStyle="1" w:styleId="186">
    <w:name w:val="正文_22_0_1"/>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187">
    <w:name w:val="xl3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188">
    <w:name w:val="纯文本1"/>
    <w:basedOn w:val="1"/>
    <w:uiPriority w:val="0"/>
    <w:pPr>
      <w:widowControl/>
      <w:adjustRightInd w:val="0"/>
      <w:spacing w:line="305" w:lineRule="auto"/>
      <w:ind w:firstLine="420"/>
      <w:textAlignment w:val="baseline"/>
    </w:pPr>
    <w:rPr>
      <w:rFonts w:ascii="宋体" w:hAnsi="Courier New"/>
      <w:szCs w:val="20"/>
    </w:rPr>
  </w:style>
  <w:style w:type="paragraph" w:customStyle="1" w:styleId="189">
    <w:name w:val="HTML Bottom of Form"/>
    <w:basedOn w:val="1"/>
    <w:next w:val="1"/>
    <w:uiPriority w:val="0"/>
    <w:pPr>
      <w:pBdr>
        <w:top w:val="single" w:color="auto" w:sz="6" w:space="1"/>
      </w:pBdr>
      <w:jc w:val="center"/>
    </w:pPr>
    <w:rPr>
      <w:rFonts w:ascii="Arial" w:eastAsia="宋体"/>
      <w:vanish/>
      <w:sz w:val="16"/>
    </w:rPr>
  </w:style>
  <w:style w:type="paragraph" w:customStyle="1" w:styleId="190">
    <w:name w:val="空半行"/>
    <w:basedOn w:val="1"/>
    <w:semiHidden/>
    <w:uiPriority w:val="0"/>
    <w:pPr>
      <w:adjustRightInd w:val="0"/>
      <w:spacing w:line="120" w:lineRule="exact"/>
    </w:pPr>
    <w:rPr>
      <w:rFonts w:ascii="Times New Roman" w:hAnsi="Times New Roman"/>
      <w:color w:val="FFFFFF"/>
      <w:kern w:val="0"/>
      <w:sz w:val="30"/>
      <w:szCs w:val="20"/>
    </w:rPr>
  </w:style>
  <w:style w:type="paragraph" w:customStyle="1" w:styleId="191">
    <w:name w:val="xl2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192">
    <w:name w:val="xl4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kern w:val="0"/>
      <w:sz w:val="20"/>
      <w:szCs w:val="20"/>
    </w:rPr>
  </w:style>
  <w:style w:type="paragraph" w:customStyle="1" w:styleId="193">
    <w:name w:val="CM48"/>
    <w:basedOn w:val="152"/>
    <w:next w:val="152"/>
    <w:qFormat/>
    <w:uiPriority w:val="0"/>
    <w:pPr>
      <w:spacing w:line="453" w:lineRule="atLeast"/>
    </w:pPr>
    <w:rPr>
      <w:rFonts w:ascii="仿宋_GB2312" w:hAnsi="Times New Roman" w:cs="Times New Roman"/>
      <w:color w:val="auto"/>
    </w:rPr>
  </w:style>
  <w:style w:type="paragraph" w:customStyle="1" w:styleId="194">
    <w:name w:val="xl4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195">
    <w:name w:val="HTML Top of Form"/>
    <w:basedOn w:val="1"/>
    <w:next w:val="1"/>
    <w:uiPriority w:val="0"/>
    <w:pPr>
      <w:pBdr>
        <w:bottom w:val="single" w:color="auto" w:sz="6" w:space="1"/>
      </w:pBdr>
      <w:jc w:val="center"/>
    </w:pPr>
    <w:rPr>
      <w:rFonts w:ascii="Arial" w:eastAsia="宋体"/>
      <w:vanish/>
      <w:sz w:val="16"/>
    </w:rPr>
  </w:style>
  <w:style w:type="paragraph" w:customStyle="1" w:styleId="196">
    <w:name w:val="Normal_1"/>
    <w:qFormat/>
    <w:uiPriority w:val="0"/>
    <w:pPr>
      <w:spacing w:line="384" w:lineRule="auto"/>
    </w:pPr>
    <w:rPr>
      <w:rFonts w:ascii="宋体" w:hAnsi="宋体" w:eastAsia="仿宋_GB2312" w:cs="Times New Roman"/>
      <w:sz w:val="24"/>
      <w:szCs w:val="24"/>
      <w:lang w:val="en-US" w:eastAsia="zh-CN" w:bidi="ar-SA"/>
    </w:rPr>
  </w:style>
  <w:style w:type="paragraph" w:customStyle="1" w:styleId="197">
    <w:name w:val="正文字缩2字"/>
    <w:basedOn w:val="1"/>
    <w:qFormat/>
    <w:uiPriority w:val="0"/>
    <w:pPr>
      <w:spacing w:before="60" w:after="60" w:line="360" w:lineRule="auto"/>
      <w:ind w:left="200" w:leftChars="200" w:firstLine="200" w:firstLineChars="200"/>
    </w:pPr>
    <w:rPr>
      <w:rFonts w:ascii="Times New Roman" w:hAnsi="Times New Roman"/>
      <w:sz w:val="24"/>
      <w:szCs w:val="24"/>
    </w:rPr>
  </w:style>
  <w:style w:type="paragraph" w:customStyle="1" w:styleId="198">
    <w:name w:val="CM65"/>
    <w:basedOn w:val="152"/>
    <w:next w:val="152"/>
    <w:qFormat/>
    <w:uiPriority w:val="0"/>
    <w:pPr>
      <w:spacing w:after="228"/>
    </w:pPr>
    <w:rPr>
      <w:rFonts w:ascii="仿宋_GB2312" w:hAnsi="Times New Roman" w:cs="Times New Roman"/>
      <w:color w:val="auto"/>
    </w:rPr>
  </w:style>
  <w:style w:type="paragraph" w:customStyle="1" w:styleId="199">
    <w:name w:val="xl50"/>
    <w:basedOn w:val="1"/>
    <w:uiPriority w:val="0"/>
    <w:pPr>
      <w:widowControl/>
      <w:spacing w:before="100" w:beforeAutospacing="1" w:after="100" w:afterAutospacing="1"/>
      <w:jc w:val="center"/>
    </w:pPr>
    <w:rPr>
      <w:rFonts w:ascii="宋体" w:hAnsi="宋体"/>
      <w:kern w:val="0"/>
      <w:sz w:val="20"/>
      <w:szCs w:val="20"/>
    </w:rPr>
  </w:style>
  <w:style w:type="paragraph" w:customStyle="1" w:styleId="200">
    <w:name w:val="样式 标题 3 + (中文) 黑体 小四 非加粗 段前: 7.8 磅 段后: 0 磅 行距: 固定值 20 磅"/>
    <w:basedOn w:val="7"/>
    <w:uiPriority w:val="0"/>
    <w:pPr>
      <w:spacing w:after="0" w:line="400" w:lineRule="exact"/>
    </w:pPr>
    <w:rPr>
      <w:rFonts w:eastAsia="黑体" w:cs="宋体"/>
      <w:b w:val="0"/>
      <w:bCs w:val="0"/>
      <w:szCs w:val="20"/>
    </w:rPr>
  </w:style>
  <w:style w:type="paragraph" w:customStyle="1" w:styleId="201">
    <w:name w:val="xl3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02">
    <w:name w:val="1"/>
    <w:basedOn w:val="1"/>
    <w:next w:val="1"/>
    <w:uiPriority w:val="0"/>
  </w:style>
  <w:style w:type="paragraph" w:customStyle="1" w:styleId="203">
    <w:name w:val="正文_22_0"/>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204">
    <w:name w:val="Char"/>
    <w:basedOn w:val="1"/>
    <w:uiPriority w:val="0"/>
  </w:style>
  <w:style w:type="paragraph" w:customStyle="1" w:styleId="205">
    <w:name w:val="_Style 105"/>
    <w:next w:val="1"/>
    <w:uiPriority w:val="99"/>
    <w:pPr>
      <w:widowControl w:val="0"/>
      <w:jc w:val="both"/>
    </w:pPr>
    <w:rPr>
      <w:rFonts w:ascii="仿宋_GB2312" w:hAnsi="Calibri" w:eastAsia="仿宋_GB2312" w:cs="Times New Roman"/>
      <w:kern w:val="2"/>
      <w:sz w:val="21"/>
      <w:szCs w:val="22"/>
      <w:lang w:val="en-US" w:eastAsia="zh-CN" w:bidi="ar-SA"/>
    </w:rPr>
  </w:style>
  <w:style w:type="paragraph" w:customStyle="1" w:styleId="206">
    <w:name w:val="正文_23"/>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207">
    <w:name w:val="xl2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08">
    <w:name w:val="WPSOffice手动目录 2"/>
    <w:uiPriority w:val="0"/>
    <w:pPr>
      <w:ind w:left="200" w:leftChars="200"/>
    </w:pPr>
    <w:rPr>
      <w:rFonts w:ascii="仿宋_GB2312" w:hAnsi="Calibri" w:eastAsia="仿宋_GB2312" w:cs="Times New Roman"/>
      <w:lang w:val="en-US" w:eastAsia="zh-CN" w:bidi="ar-SA"/>
    </w:rPr>
  </w:style>
  <w:style w:type="paragraph" w:customStyle="1" w:styleId="209">
    <w:name w:val="font6"/>
    <w:basedOn w:val="1"/>
    <w:uiPriority w:val="0"/>
    <w:pPr>
      <w:widowControl/>
      <w:spacing w:before="100" w:beforeAutospacing="1" w:after="100" w:afterAutospacing="1"/>
      <w:jc w:val="left"/>
    </w:pPr>
    <w:rPr>
      <w:rFonts w:hint="eastAsia" w:ascii="宋体" w:hAnsi="宋体"/>
      <w:kern w:val="0"/>
      <w:sz w:val="20"/>
      <w:szCs w:val="20"/>
    </w:rPr>
  </w:style>
  <w:style w:type="paragraph" w:customStyle="1" w:styleId="210">
    <w:name w:val="xl4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rPr>
  </w:style>
  <w:style w:type="paragraph" w:customStyle="1" w:styleId="211">
    <w:name w:val="正文_21"/>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212">
    <w:name w:val="列出段落1"/>
    <w:basedOn w:val="1"/>
    <w:uiPriority w:val="0"/>
    <w:pPr>
      <w:ind w:firstLine="852" w:firstLineChars="303"/>
      <w:jc w:val="left"/>
    </w:pPr>
    <w:rPr>
      <w:rFonts w:ascii="Calibri"/>
      <w:b/>
      <w:sz w:val="28"/>
      <w:szCs w:val="28"/>
    </w:rPr>
  </w:style>
  <w:style w:type="paragraph" w:customStyle="1" w:styleId="213">
    <w:name w:val="xl4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214">
    <w:name w:val="xl45"/>
    <w:basedOn w:val="1"/>
    <w:uiPriority w:val="0"/>
    <w:pPr>
      <w:widowControl/>
      <w:spacing w:before="100" w:beforeAutospacing="1" w:after="100" w:afterAutospacing="1"/>
      <w:jc w:val="right"/>
    </w:pPr>
    <w:rPr>
      <w:rFonts w:ascii="宋体" w:hAnsi="宋体"/>
      <w:kern w:val="0"/>
      <w:sz w:val="24"/>
    </w:rPr>
  </w:style>
  <w:style w:type="paragraph" w:customStyle="1" w:styleId="215">
    <w:name w:val="正文_22_1"/>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216">
    <w:name w:val="xl3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b/>
      <w:bCs/>
      <w:kern w:val="0"/>
      <w:sz w:val="20"/>
      <w:szCs w:val="20"/>
    </w:rPr>
  </w:style>
  <w:style w:type="paragraph" w:customStyle="1" w:styleId="217">
    <w:name w:val="xl4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18">
    <w:name w:val="xl3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219">
    <w:name w:val="正文_22_2"/>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220">
    <w:name w:val="正文_22"/>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221">
    <w:name w:val="正文_0_3"/>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222">
    <w:name w:val="正文_24"/>
    <w:qFormat/>
    <w:uiPriority w:val="0"/>
    <w:pPr>
      <w:widowControl w:val="0"/>
      <w:jc w:val="both"/>
    </w:pPr>
    <w:rPr>
      <w:rFonts w:ascii="仿宋_GB2312" w:hAnsi="Calibri" w:eastAsia="仿宋_GB2312" w:cs="Times New Roman"/>
      <w:kern w:val="2"/>
      <w:sz w:val="21"/>
      <w:szCs w:val="22"/>
      <w:lang w:val="en-US" w:eastAsia="zh-CN" w:bidi="ar-SA"/>
    </w:rPr>
  </w:style>
  <w:style w:type="paragraph" w:customStyle="1" w:styleId="223">
    <w:name w:val="CM57"/>
    <w:basedOn w:val="152"/>
    <w:next w:val="152"/>
    <w:qFormat/>
    <w:uiPriority w:val="0"/>
    <w:pPr>
      <w:spacing w:after="590"/>
    </w:pPr>
    <w:rPr>
      <w:rFonts w:ascii="仿宋_GB2312" w:hAnsi="Times New Roman" w:cs="Times New Roman"/>
      <w:color w:val="auto"/>
    </w:rPr>
  </w:style>
  <w:style w:type="paragraph" w:customStyle="1" w:styleId="224">
    <w:name w:val="表标题"/>
    <w:basedOn w:val="1"/>
    <w:uiPriority w:val="0"/>
    <w:pPr>
      <w:spacing w:line="305" w:lineRule="auto"/>
      <w:ind w:firstLine="50" w:firstLineChars="50"/>
    </w:pPr>
    <w:rPr>
      <w:rFonts w:ascii="黑体" w:hAnsi="宋体" w:eastAsia="黑体"/>
      <w:kern w:val="44"/>
      <w:sz w:val="24"/>
    </w:rPr>
  </w:style>
  <w:style w:type="paragraph" w:customStyle="1" w:styleId="225">
    <w:name w:val="6'"/>
    <w:basedOn w:val="1"/>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226">
    <w:name w:val="xl35"/>
    <w:basedOn w:val="1"/>
    <w:uiPriority w:val="0"/>
    <w:pPr>
      <w:widowControl/>
      <w:spacing w:before="100" w:beforeAutospacing="1" w:after="100" w:afterAutospacing="1"/>
      <w:jc w:val="center"/>
    </w:pPr>
    <w:rPr>
      <w:rFonts w:ascii="宋体" w:hAnsi="宋体"/>
      <w:b/>
      <w:bCs/>
      <w:kern w:val="0"/>
      <w:sz w:val="36"/>
      <w:szCs w:val="36"/>
    </w:rPr>
  </w:style>
  <w:style w:type="paragraph" w:customStyle="1" w:styleId="227">
    <w:name w:val="正文1"/>
    <w:uiPriority w:val="0"/>
    <w:pPr>
      <w:jc w:val="both"/>
    </w:pPr>
    <w:rPr>
      <w:rFonts w:ascii="仿宋_GB2312" w:hAnsi="Calibri" w:eastAsia="仿宋_GB2312" w:cs="Times New Roman"/>
      <w:kern w:val="2"/>
      <w:sz w:val="21"/>
      <w:szCs w:val="21"/>
      <w:lang w:val="en-US" w:eastAsia="zh-CN" w:bidi="ar-SA"/>
    </w:rPr>
  </w:style>
  <w:style w:type="paragraph" w:customStyle="1" w:styleId="228">
    <w:name w:val="表格文字"/>
    <w:basedOn w:val="1"/>
    <w:uiPriority w:val="0"/>
    <w:pPr>
      <w:adjustRightInd w:val="0"/>
      <w:spacing w:line="420" w:lineRule="atLeast"/>
      <w:jc w:val="left"/>
      <w:textAlignment w:val="baseline"/>
    </w:pPr>
    <w:rPr>
      <w:kern w:val="0"/>
      <w:szCs w:val="20"/>
    </w:rPr>
  </w:style>
  <w:style w:type="paragraph" w:customStyle="1" w:styleId="229">
    <w:name w:val="Normal_0_0"/>
    <w:qFormat/>
    <w:uiPriority w:val="0"/>
    <w:pPr>
      <w:widowControl w:val="0"/>
      <w:jc w:val="both"/>
    </w:pPr>
    <w:rPr>
      <w:rFonts w:ascii="仿宋_GB2312" w:hAnsi="Calibri" w:eastAsia="Times New Roman" w:cs="Times New Roman"/>
      <w:sz w:val="21"/>
      <w:szCs w:val="22"/>
      <w:lang w:val="en-US" w:eastAsia="zh-CN" w:bidi="ar-SA"/>
    </w:rPr>
  </w:style>
  <w:style w:type="paragraph" w:customStyle="1" w:styleId="230">
    <w:name w:val="条款节部分"/>
    <w:basedOn w:val="1"/>
    <w:qFormat/>
    <w:uiPriority w:val="0"/>
    <w:pPr>
      <w:numPr>
        <w:ilvl w:val="0"/>
        <w:numId w:val="2"/>
      </w:numPr>
    </w:pPr>
    <w:rPr>
      <w:sz w:val="32"/>
      <w:szCs w:val="32"/>
    </w:rPr>
  </w:style>
  <w:style w:type="paragraph" w:customStyle="1" w:styleId="231">
    <w:name w:val="xl3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kern w:val="0"/>
      <w:sz w:val="20"/>
      <w:szCs w:val="20"/>
    </w:rPr>
  </w:style>
  <w:style w:type="paragraph" w:customStyle="1" w:styleId="232">
    <w:name w:val="样式 标题 1 + 黑体 三号 非加粗 居中 段前: 6 磅 段后: 6 磅 行距: 固定值 20 磅"/>
    <w:basedOn w:val="5"/>
    <w:uiPriority w:val="0"/>
    <w:pPr>
      <w:spacing w:before="120" w:line="400" w:lineRule="exact"/>
    </w:pPr>
    <w:rPr>
      <w:rFonts w:ascii="黑体" w:hAnsi="黑体" w:eastAsia="黑体" w:cs="宋体"/>
      <w:b w:val="0"/>
      <w:bCs/>
      <w:sz w:val="32"/>
      <w:szCs w:val="20"/>
    </w:rPr>
  </w:style>
  <w:style w:type="paragraph" w:customStyle="1" w:styleId="233">
    <w:name w:val="普通(网站)_0"/>
    <w:basedOn w:val="66"/>
    <w:uiPriority w:val="99"/>
    <w:pPr>
      <w:widowControl/>
      <w:spacing w:before="100" w:beforeAutospacing="1" w:after="100" w:afterAutospacing="1"/>
      <w:jc w:val="left"/>
    </w:pPr>
    <w:rPr>
      <w:rFonts w:hint="eastAsia" w:ascii="宋体" w:hAnsi="宋体"/>
      <w:kern w:val="0"/>
      <w:sz w:val="24"/>
      <w:szCs w:val="22"/>
    </w:rPr>
  </w:style>
  <w:style w:type="paragraph" w:customStyle="1" w:styleId="234">
    <w:name w:val="xl3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0"/>
      <w:szCs w:val="20"/>
    </w:rPr>
  </w:style>
  <w:style w:type="paragraph" w:customStyle="1" w:styleId="235">
    <w:name w:val="正文_3"/>
    <w:qFormat/>
    <w:uiPriority w:val="0"/>
    <w:pPr>
      <w:widowControl w:val="0"/>
      <w:jc w:val="both"/>
    </w:pPr>
    <w:rPr>
      <w:rFonts w:ascii="仿宋_GB2312" w:hAnsi="Calibri" w:eastAsia="仿宋_GB2312" w:cs="Times New Roman"/>
      <w:kern w:val="2"/>
      <w:sz w:val="21"/>
      <w:szCs w:val="24"/>
      <w:lang w:val="en-US" w:eastAsia="zh-CN" w:bidi="ar-SA"/>
    </w:rPr>
  </w:style>
  <w:style w:type="paragraph" w:customStyle="1" w:styleId="236">
    <w:name w:val="font7"/>
    <w:basedOn w:val="1"/>
    <w:uiPriority w:val="0"/>
    <w:pPr>
      <w:widowControl/>
      <w:spacing w:before="100" w:beforeAutospacing="1" w:after="100" w:afterAutospacing="1"/>
      <w:jc w:val="left"/>
    </w:pPr>
    <w:rPr>
      <w:rFonts w:hint="eastAsia" w:ascii="宋体" w:hAnsi="宋体"/>
      <w:kern w:val="0"/>
      <w:sz w:val="20"/>
      <w:szCs w:val="20"/>
    </w:rPr>
  </w:style>
  <w:style w:type="paragraph" w:customStyle="1" w:styleId="237">
    <w:name w:val="正文_22_0_0"/>
    <w:qFormat/>
    <w:uiPriority w:val="0"/>
    <w:pPr>
      <w:widowControl w:val="0"/>
      <w:jc w:val="both"/>
    </w:pPr>
    <w:rPr>
      <w:rFonts w:ascii="仿宋_GB2312" w:hAnsi="Calibri" w:eastAsia="仿宋_GB2312"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54533D-53D5-4711-9DDC-260D3D2C8710}">
  <ds:schemaRefs/>
</ds:datastoreItem>
</file>

<file path=docProps/app.xml><?xml version="1.0" encoding="utf-8"?>
<Properties xmlns="http://schemas.openxmlformats.org/officeDocument/2006/extended-properties" xmlns:vt="http://schemas.openxmlformats.org/officeDocument/2006/docPropsVTypes">
  <Template>Normal</Template>
  <Pages>1</Pages>
  <Words>5190</Words>
  <Characters>29586</Characters>
  <Lines>246</Lines>
  <Paragraphs>69</Paragraphs>
  <TotalTime>753</TotalTime>
  <ScaleCrop>false</ScaleCrop>
  <LinksUpToDate>false</LinksUpToDate>
  <CharactersWithSpaces>34707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2020-12-16T02:54:00Z</dcterms:created>
  <dc:creator>胡杨</dc:creator>
  <cp:lastModifiedBy>NTKO</cp:lastModifiedBy>
  <cp:lastPrinted>2020-12-05T23:54:00Z</cp:lastPrinted>
  <dcterms:modified xsi:type="dcterms:W3CDTF">2020-12-23T03:33:02Z</dcterms:modified>
  <dc:title>住房和城乡建设部关于印发《房屋建筑和市政工程标准施工招标资格预审文件》和《房屋建筑和市政工程标准施工招标文件》的通知</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