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0"/>
        <w:jc w:val="center"/>
        <w:rPr>
          <w:rFonts w:ascii="宋体" w:hAnsi="宋体" w:cs="Times New Roman"/>
          <w:b/>
          <w:color w:val="000000"/>
          <w:spacing w:val="303"/>
          <w:w w:val="95"/>
          <w:kern w:val="0"/>
          <w:sz w:val="180"/>
          <w:szCs w:val="180"/>
        </w:rPr>
      </w:pPr>
      <w:r>
        <w:rPr>
          <w:rFonts w:hint="eastAsia"/>
          <w:sz w:val="48"/>
          <w:szCs w:val="48"/>
        </w:rPr>
        <w:t>宜昌三峡国际游轮中心码头工程过渡期供电照明监控系统项目（第3次招标）</w:t>
      </w:r>
    </w:p>
    <w:p>
      <w:pPr>
        <w:spacing w:line="360" w:lineRule="auto"/>
        <w:jc w:val="center"/>
        <w:rPr>
          <w:rFonts w:ascii="宋体" w:hAnsi="宋体" w:eastAsia="宋体" w:cs="Times New Roman"/>
          <w:b/>
          <w:color w:val="000000"/>
          <w:spacing w:val="303"/>
          <w:w w:val="95"/>
          <w:kern w:val="0"/>
          <w:sz w:val="72"/>
          <w:szCs w:val="72"/>
        </w:rPr>
      </w:pPr>
    </w:p>
    <w:p>
      <w:pPr>
        <w:spacing w:line="360" w:lineRule="auto"/>
        <w:jc w:val="center"/>
        <w:rPr>
          <w:rFonts w:ascii="宋体" w:hAnsi="宋体" w:eastAsia="宋体" w:cs="Times New Roman"/>
          <w:b/>
          <w:color w:val="000000"/>
          <w:spacing w:val="303"/>
          <w:w w:val="95"/>
          <w:kern w:val="0"/>
          <w:sz w:val="72"/>
          <w:szCs w:val="72"/>
        </w:rPr>
      </w:pPr>
    </w:p>
    <w:p>
      <w:pPr>
        <w:spacing w:line="360" w:lineRule="auto"/>
        <w:jc w:val="center"/>
        <w:rPr>
          <w:rFonts w:ascii="宋体" w:hAnsi="宋体" w:eastAsia="宋体" w:cs="Times New Roman"/>
          <w:b/>
          <w:color w:val="000000"/>
          <w:spacing w:val="30"/>
          <w:sz w:val="72"/>
          <w:szCs w:val="72"/>
        </w:rPr>
      </w:pPr>
    </w:p>
    <w:p>
      <w:pPr>
        <w:spacing w:line="360" w:lineRule="auto"/>
        <w:jc w:val="center"/>
        <w:rPr>
          <w:rFonts w:ascii="宋体" w:hAnsi="宋体" w:eastAsia="宋体" w:cs="Times New Roman"/>
          <w:b/>
          <w:color w:val="000000"/>
          <w:spacing w:val="30"/>
          <w:sz w:val="72"/>
          <w:szCs w:val="72"/>
        </w:rPr>
      </w:pPr>
      <w:r>
        <w:rPr>
          <w:rFonts w:hint="eastAsia" w:ascii="宋体" w:hAnsi="宋体" w:eastAsia="宋体" w:cs="Times New Roman"/>
          <w:b/>
          <w:color w:val="000000"/>
          <w:spacing w:val="30"/>
          <w:sz w:val="72"/>
          <w:szCs w:val="72"/>
        </w:rPr>
        <w:t>竞争性谈判文件</w:t>
      </w: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sz w:val="28"/>
          <w:szCs w:val="28"/>
        </w:rPr>
      </w:pPr>
      <w:r>
        <w:rPr>
          <w:rFonts w:hint="eastAsia" w:ascii="宋体" w:hAnsi="宋体" w:eastAsia="宋体" w:cs="Times New Roman"/>
          <w:color w:val="000000"/>
          <w:sz w:val="28"/>
          <w:szCs w:val="28"/>
        </w:rPr>
        <w:t xml:space="preserve">                    项目编号：HBXYZB(2020)164</w:t>
      </w: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rPr>
          <w:rFonts w:ascii="宋体" w:hAnsi="宋体" w:eastAsia="宋体" w:cs="Times New Roman"/>
          <w:color w:val="000000"/>
        </w:rPr>
      </w:pPr>
    </w:p>
    <w:p>
      <w:pPr>
        <w:spacing w:line="360" w:lineRule="auto"/>
        <w:ind w:firstLine="1500" w:firstLineChars="500"/>
        <w:rPr>
          <w:rFonts w:ascii="宋体" w:hAnsi="宋体" w:eastAsia="宋体" w:cs="Times New Roman"/>
          <w:color w:val="000000"/>
          <w:sz w:val="30"/>
          <w:szCs w:val="30"/>
        </w:rPr>
      </w:pPr>
    </w:p>
    <w:p>
      <w:pPr>
        <w:spacing w:line="360" w:lineRule="auto"/>
        <w:ind w:firstLine="1500" w:firstLineChars="500"/>
        <w:rPr>
          <w:rFonts w:ascii="宋体" w:hAnsi="宋体" w:eastAsia="宋体" w:cs="Times New Roman"/>
          <w:color w:val="000000"/>
          <w:sz w:val="30"/>
          <w:szCs w:val="30"/>
        </w:rPr>
      </w:pPr>
      <w:r>
        <w:rPr>
          <w:rFonts w:hint="eastAsia" w:ascii="宋体" w:hAnsi="宋体" w:eastAsia="宋体" w:cs="Times New Roman"/>
          <w:color w:val="000000"/>
          <w:sz w:val="30"/>
          <w:szCs w:val="30"/>
        </w:rPr>
        <w:t>采购人:</w:t>
      </w:r>
      <w:r>
        <w:rPr>
          <w:rFonts w:hint="eastAsia" w:ascii="宋体" w:hAnsi="宋体" w:eastAsia="宋体" w:cs="Times New Roman"/>
          <w:color w:val="000000"/>
          <w:sz w:val="30"/>
          <w:szCs w:val="30"/>
          <w:u w:val="single"/>
        </w:rPr>
        <w:t>湖北宜昌长江三峡游轮中心开发有限公司</w:t>
      </w:r>
      <w:r>
        <w:rPr>
          <w:rFonts w:hint="eastAsia" w:ascii="宋体" w:hAnsi="宋体" w:eastAsia="宋体" w:cs="Times New Roman"/>
          <w:color w:val="000000"/>
          <w:sz w:val="30"/>
          <w:szCs w:val="30"/>
        </w:rPr>
        <w:t>（盖章）</w:t>
      </w:r>
    </w:p>
    <w:p>
      <w:pPr>
        <w:spacing w:line="360" w:lineRule="auto"/>
        <w:ind w:firstLine="1500" w:firstLineChars="500"/>
        <w:rPr>
          <w:rFonts w:ascii="宋体" w:hAnsi="宋体" w:eastAsia="宋体" w:cs="Times New Roman"/>
          <w:color w:val="000000"/>
          <w:sz w:val="30"/>
          <w:szCs w:val="30"/>
        </w:rPr>
      </w:pPr>
      <w:bookmarkStart w:id="0" w:name="EB945a1330b30a43c89011ebdc7f99f563"/>
      <w:r>
        <w:rPr>
          <w:rFonts w:hint="eastAsia" w:ascii="宋体" w:hAnsi="宋体" w:eastAsia="宋体" w:cs="Times New Roman"/>
          <w:color w:val="000000"/>
          <w:sz w:val="30"/>
          <w:szCs w:val="30"/>
        </w:rPr>
        <w:t>采购代理机构:</w:t>
      </w:r>
      <w:r>
        <w:rPr>
          <w:rFonts w:hint="eastAsia" w:ascii="宋体" w:hAnsi="宋体" w:eastAsia="宋体" w:cs="Times New Roman"/>
          <w:color w:val="000000"/>
          <w:sz w:val="30"/>
          <w:szCs w:val="30"/>
          <w:u w:val="single"/>
        </w:rPr>
        <w:t>湖北兴焱工程咨询有限公司</w:t>
      </w:r>
      <w:bookmarkEnd w:id="0"/>
      <w:r>
        <w:rPr>
          <w:rFonts w:hint="eastAsia" w:ascii="宋体" w:hAnsi="宋体" w:eastAsia="宋体" w:cs="Times New Roman"/>
          <w:color w:val="000000"/>
          <w:sz w:val="30"/>
          <w:szCs w:val="30"/>
          <w:u w:val="single"/>
        </w:rPr>
        <w:t xml:space="preserve">      </w:t>
      </w:r>
      <w:r>
        <w:rPr>
          <w:rFonts w:hint="eastAsia" w:ascii="宋体" w:hAnsi="宋体" w:eastAsia="宋体" w:cs="Times New Roman"/>
          <w:color w:val="000000"/>
          <w:sz w:val="30"/>
          <w:szCs w:val="30"/>
        </w:rPr>
        <w:t>（盖章）</w:t>
      </w:r>
      <w:bookmarkStart w:id="1" w:name="EB6855f4ddeec348d4a5195b2a32b7b353"/>
    </w:p>
    <w:p>
      <w:pPr>
        <w:spacing w:line="360" w:lineRule="auto"/>
        <w:rPr>
          <w:rFonts w:ascii="宋体" w:hAnsi="宋体" w:eastAsia="宋体" w:cs="Times New Roman"/>
          <w:color w:val="000000"/>
          <w:sz w:val="30"/>
          <w:szCs w:val="30"/>
        </w:rPr>
      </w:pPr>
      <w:r>
        <w:rPr>
          <w:rFonts w:hint="eastAsia" w:ascii="宋体" w:hAnsi="宋体" w:eastAsia="宋体" w:cs="Times New Roman"/>
          <w:color w:val="000000"/>
          <w:sz w:val="30"/>
          <w:szCs w:val="30"/>
        </w:rPr>
        <w:t xml:space="preserve">          日        期：20</w:t>
      </w:r>
      <w:bookmarkEnd w:id="1"/>
      <w:r>
        <w:rPr>
          <w:rFonts w:hint="eastAsia" w:ascii="宋体" w:hAnsi="宋体" w:eastAsia="宋体" w:cs="Times New Roman"/>
          <w:color w:val="000000"/>
          <w:sz w:val="30"/>
          <w:szCs w:val="30"/>
        </w:rPr>
        <w:t xml:space="preserve">20年12月 </w:t>
      </w:r>
    </w:p>
    <w:p>
      <w:pPr>
        <w:spacing w:line="360" w:lineRule="auto"/>
        <w:rPr>
          <w:rFonts w:ascii="宋体" w:hAnsi="宋体" w:eastAsia="宋体" w:cs="Times New Roman"/>
          <w:color w:val="000000"/>
        </w:rPr>
      </w:pPr>
    </w:p>
    <w:sdt>
      <w:sdtPr>
        <w:rPr>
          <w:lang w:val="zh-CN"/>
        </w:rPr>
        <w:id w:val="-113455323"/>
      </w:sdtPr>
      <w:sdtEndPr>
        <w:rPr>
          <w:rFonts w:asciiTheme="minorEastAsia" w:hAnsiTheme="minorEastAsia"/>
          <w:color w:val="000000" w:themeColor="text1"/>
          <w:szCs w:val="28"/>
          <w:lang w:val="zh-CN"/>
        </w:rPr>
      </w:sdtEndPr>
      <w:sdtContent>
        <w:p>
          <w:pPr>
            <w:spacing w:line="360" w:lineRule="auto"/>
            <w:jc w:val="center"/>
            <w:rPr>
              <w:sz w:val="32"/>
              <w:szCs w:val="32"/>
            </w:rPr>
          </w:pPr>
          <w:r>
            <w:rPr>
              <w:rFonts w:ascii="宋体" w:hAnsi="宋体" w:eastAsia="宋体"/>
              <w:sz w:val="32"/>
              <w:szCs w:val="32"/>
            </w:rPr>
            <w:t>目</w:t>
          </w:r>
          <w:r>
            <w:rPr>
              <w:rFonts w:hint="eastAsia" w:ascii="宋体" w:hAnsi="宋体" w:eastAsia="宋体"/>
              <w:sz w:val="32"/>
              <w:szCs w:val="32"/>
            </w:rPr>
            <w:t xml:space="preserve">   </w:t>
          </w:r>
          <w:r>
            <w:rPr>
              <w:rFonts w:ascii="宋体" w:hAnsi="宋体" w:eastAsia="宋体"/>
              <w:sz w:val="32"/>
              <w:szCs w:val="32"/>
            </w:rPr>
            <w:t>录</w:t>
          </w:r>
        </w:p>
        <w:p>
          <w:pPr>
            <w:pStyle w:val="28"/>
            <w:tabs>
              <w:tab w:val="right" w:leader="dot" w:pos="9446"/>
              <w:tab w:val="clear" w:pos="9436"/>
            </w:tabs>
          </w:pPr>
          <w:r>
            <w:rPr>
              <w:rFonts w:asciiTheme="minorEastAsia" w:hAnsiTheme="minorEastAsia" w:eastAsiaTheme="minorEastAsia"/>
              <w:color w:val="000000" w:themeColor="text1"/>
              <w:szCs w:val="28"/>
            </w:rPr>
            <w:fldChar w:fldCharType="begin"/>
          </w:r>
          <w:r>
            <w:rPr>
              <w:rFonts w:asciiTheme="minorEastAsia" w:hAnsiTheme="minorEastAsia" w:eastAsiaTheme="minorEastAsia"/>
              <w:color w:val="000000" w:themeColor="text1"/>
              <w:szCs w:val="28"/>
            </w:rPr>
            <w:instrText xml:space="preserve"> TOC \o "1-3" \h \z \u </w:instrText>
          </w:r>
          <w:r>
            <w:rPr>
              <w:rFonts w:asciiTheme="minorEastAsia" w:hAnsiTheme="minorEastAsia" w:eastAsiaTheme="minorEastAsia"/>
              <w:color w:val="000000" w:themeColor="text1"/>
              <w:szCs w:val="28"/>
            </w:rPr>
            <w:fldChar w:fldCharType="separate"/>
          </w:r>
          <w:r>
            <w:fldChar w:fldCharType="begin"/>
          </w:r>
          <w:r>
            <w:instrText xml:space="preserve"> HYPERLINK \l "_Toc26009" </w:instrText>
          </w:r>
          <w:r>
            <w:fldChar w:fldCharType="separate"/>
          </w:r>
          <w:r>
            <w:rPr>
              <w:rFonts w:hint="eastAsia"/>
            </w:rPr>
            <w:t>第一章  谈判邀请函</w:t>
          </w:r>
          <w:r>
            <w:tab/>
          </w:r>
          <w:r>
            <w:fldChar w:fldCharType="begin"/>
          </w:r>
          <w:r>
            <w:instrText xml:space="preserve"> PAGEREF _Toc26009 </w:instrText>
          </w:r>
          <w:r>
            <w:fldChar w:fldCharType="separate"/>
          </w:r>
          <w:r>
            <w:t>3</w:t>
          </w:r>
          <w:r>
            <w:fldChar w:fldCharType="end"/>
          </w:r>
          <w:r>
            <w:fldChar w:fldCharType="end"/>
          </w:r>
        </w:p>
        <w:p>
          <w:pPr>
            <w:pStyle w:val="28"/>
            <w:tabs>
              <w:tab w:val="right" w:leader="dot" w:pos="9446"/>
              <w:tab w:val="clear" w:pos="9436"/>
            </w:tabs>
          </w:pPr>
          <w:r>
            <w:fldChar w:fldCharType="begin"/>
          </w:r>
          <w:r>
            <w:instrText xml:space="preserve"> HYPERLINK \l "_Toc169" </w:instrText>
          </w:r>
          <w:r>
            <w:fldChar w:fldCharType="separate"/>
          </w:r>
          <w:r>
            <w:rPr>
              <w:rFonts w:hint="eastAsia"/>
            </w:rPr>
            <w:t>第二章  谈判须知</w:t>
          </w:r>
          <w:r>
            <w:tab/>
          </w:r>
          <w:r>
            <w:fldChar w:fldCharType="begin"/>
          </w:r>
          <w:r>
            <w:instrText xml:space="preserve"> PAGEREF _Toc169 </w:instrText>
          </w:r>
          <w:r>
            <w:fldChar w:fldCharType="separate"/>
          </w:r>
          <w:r>
            <w:t>6</w:t>
          </w:r>
          <w:r>
            <w:fldChar w:fldCharType="end"/>
          </w:r>
          <w:r>
            <w:fldChar w:fldCharType="end"/>
          </w:r>
        </w:p>
        <w:p>
          <w:pPr>
            <w:pStyle w:val="32"/>
            <w:tabs>
              <w:tab w:val="right" w:leader="dot" w:pos="9446"/>
            </w:tabs>
            <w:ind w:left="420"/>
          </w:pPr>
          <w:r>
            <w:fldChar w:fldCharType="begin"/>
          </w:r>
          <w:r>
            <w:instrText xml:space="preserve"> HYPERLINK \l "_Toc26596" </w:instrText>
          </w:r>
          <w:r>
            <w:fldChar w:fldCharType="separate"/>
          </w:r>
          <w:r>
            <w:rPr>
              <w:rFonts w:hint="eastAsia" w:ascii="宋体" w:hAnsi="宋体"/>
              <w:szCs w:val="24"/>
            </w:rPr>
            <w:t>一、说明</w:t>
          </w:r>
          <w:r>
            <w:tab/>
          </w:r>
          <w:r>
            <w:fldChar w:fldCharType="begin"/>
          </w:r>
          <w:r>
            <w:instrText xml:space="preserve"> PAGEREF _Toc26596 </w:instrText>
          </w:r>
          <w:r>
            <w:fldChar w:fldCharType="separate"/>
          </w:r>
          <w:r>
            <w:t>7</w:t>
          </w:r>
          <w:r>
            <w:fldChar w:fldCharType="end"/>
          </w:r>
          <w:r>
            <w:fldChar w:fldCharType="end"/>
          </w:r>
        </w:p>
        <w:p>
          <w:pPr>
            <w:pStyle w:val="32"/>
            <w:tabs>
              <w:tab w:val="right" w:leader="dot" w:pos="9446"/>
            </w:tabs>
            <w:ind w:left="420"/>
          </w:pPr>
          <w:r>
            <w:fldChar w:fldCharType="begin"/>
          </w:r>
          <w:r>
            <w:instrText xml:space="preserve"> HYPERLINK \l "_Toc13918" </w:instrText>
          </w:r>
          <w:r>
            <w:fldChar w:fldCharType="separate"/>
          </w:r>
          <w:r>
            <w:rPr>
              <w:rFonts w:hint="eastAsia" w:ascii="宋体" w:hAnsi="宋体"/>
              <w:bCs/>
              <w:szCs w:val="28"/>
            </w:rPr>
            <w:t>二、竞争性谈判响应文件的编制</w:t>
          </w:r>
          <w:r>
            <w:tab/>
          </w:r>
          <w:r>
            <w:fldChar w:fldCharType="begin"/>
          </w:r>
          <w:r>
            <w:instrText xml:space="preserve"> PAGEREF _Toc13918 </w:instrText>
          </w:r>
          <w:r>
            <w:fldChar w:fldCharType="separate"/>
          </w:r>
          <w:r>
            <w:t>8</w:t>
          </w:r>
          <w:r>
            <w:fldChar w:fldCharType="end"/>
          </w:r>
          <w:r>
            <w:fldChar w:fldCharType="end"/>
          </w:r>
        </w:p>
        <w:p>
          <w:pPr>
            <w:pStyle w:val="32"/>
            <w:tabs>
              <w:tab w:val="right" w:leader="dot" w:pos="9446"/>
            </w:tabs>
            <w:ind w:left="420"/>
          </w:pPr>
          <w:r>
            <w:fldChar w:fldCharType="begin"/>
          </w:r>
          <w:r>
            <w:instrText xml:space="preserve"> HYPERLINK \l "_Toc30242" </w:instrText>
          </w:r>
          <w:r>
            <w:fldChar w:fldCharType="separate"/>
          </w:r>
          <w:r>
            <w:rPr>
              <w:rFonts w:hint="eastAsia" w:ascii="宋体" w:hAnsi="宋体"/>
              <w:bCs/>
              <w:szCs w:val="28"/>
            </w:rPr>
            <w:t>三、谈判报价要求</w:t>
          </w:r>
          <w:r>
            <w:tab/>
          </w:r>
          <w:r>
            <w:fldChar w:fldCharType="begin"/>
          </w:r>
          <w:r>
            <w:instrText xml:space="preserve"> PAGEREF _Toc30242 </w:instrText>
          </w:r>
          <w:r>
            <w:fldChar w:fldCharType="separate"/>
          </w:r>
          <w:r>
            <w:t>9</w:t>
          </w:r>
          <w:r>
            <w:fldChar w:fldCharType="end"/>
          </w:r>
          <w:r>
            <w:fldChar w:fldCharType="end"/>
          </w:r>
        </w:p>
        <w:p>
          <w:pPr>
            <w:pStyle w:val="32"/>
            <w:tabs>
              <w:tab w:val="right" w:leader="dot" w:pos="9446"/>
            </w:tabs>
            <w:ind w:left="420"/>
          </w:pPr>
          <w:r>
            <w:fldChar w:fldCharType="begin"/>
          </w:r>
          <w:r>
            <w:instrText xml:space="preserve"> HYPERLINK \l "_Toc20017" </w:instrText>
          </w:r>
          <w:r>
            <w:fldChar w:fldCharType="separate"/>
          </w:r>
          <w:r>
            <w:rPr>
              <w:rFonts w:hint="eastAsia" w:ascii="宋体" w:hAnsi="宋体"/>
              <w:bCs/>
              <w:szCs w:val="28"/>
            </w:rPr>
            <w:t>四、竞争性谈判响应文件的份数、封装和递交</w:t>
          </w:r>
          <w:r>
            <w:tab/>
          </w:r>
          <w:r>
            <w:fldChar w:fldCharType="begin"/>
          </w:r>
          <w:r>
            <w:instrText xml:space="preserve"> PAGEREF _Toc20017 </w:instrText>
          </w:r>
          <w:r>
            <w:fldChar w:fldCharType="separate"/>
          </w:r>
          <w:r>
            <w:t>10</w:t>
          </w:r>
          <w:r>
            <w:fldChar w:fldCharType="end"/>
          </w:r>
          <w:r>
            <w:fldChar w:fldCharType="end"/>
          </w:r>
        </w:p>
        <w:p>
          <w:pPr>
            <w:pStyle w:val="32"/>
            <w:tabs>
              <w:tab w:val="right" w:leader="dot" w:pos="9446"/>
            </w:tabs>
            <w:ind w:left="420"/>
          </w:pPr>
          <w:r>
            <w:fldChar w:fldCharType="begin"/>
          </w:r>
          <w:r>
            <w:instrText xml:space="preserve"> HYPERLINK \l "_Toc29985" </w:instrText>
          </w:r>
          <w:r>
            <w:fldChar w:fldCharType="separate"/>
          </w:r>
          <w:r>
            <w:rPr>
              <w:rFonts w:hint="eastAsia" w:ascii="宋体" w:hAnsi="宋体"/>
              <w:bCs/>
              <w:szCs w:val="28"/>
            </w:rPr>
            <w:t>五、谈判的步骤</w:t>
          </w:r>
          <w:r>
            <w:tab/>
          </w:r>
          <w:r>
            <w:fldChar w:fldCharType="begin"/>
          </w:r>
          <w:r>
            <w:instrText xml:space="preserve"> PAGEREF _Toc29985 </w:instrText>
          </w:r>
          <w:r>
            <w:fldChar w:fldCharType="separate"/>
          </w:r>
          <w:r>
            <w:t>10</w:t>
          </w:r>
          <w:r>
            <w:fldChar w:fldCharType="end"/>
          </w:r>
          <w:r>
            <w:fldChar w:fldCharType="end"/>
          </w:r>
        </w:p>
        <w:p>
          <w:pPr>
            <w:pStyle w:val="32"/>
            <w:tabs>
              <w:tab w:val="right" w:leader="dot" w:pos="9446"/>
            </w:tabs>
            <w:ind w:left="420"/>
          </w:pPr>
          <w:r>
            <w:fldChar w:fldCharType="begin"/>
          </w:r>
          <w:r>
            <w:instrText xml:space="preserve"> HYPERLINK \l "_Toc21352" </w:instrText>
          </w:r>
          <w:r>
            <w:fldChar w:fldCharType="separate"/>
          </w:r>
          <w:r>
            <w:rPr>
              <w:rFonts w:hint="eastAsia" w:ascii="宋体" w:hAnsi="宋体"/>
              <w:bCs/>
              <w:szCs w:val="28"/>
            </w:rPr>
            <w:t>七、确定成交供应商办法和原则</w:t>
          </w:r>
          <w:r>
            <w:tab/>
          </w:r>
          <w:r>
            <w:fldChar w:fldCharType="begin"/>
          </w:r>
          <w:r>
            <w:instrText xml:space="preserve"> PAGEREF _Toc21352 </w:instrText>
          </w:r>
          <w:r>
            <w:fldChar w:fldCharType="separate"/>
          </w:r>
          <w:r>
            <w:t>13</w:t>
          </w:r>
          <w:r>
            <w:fldChar w:fldCharType="end"/>
          </w:r>
          <w:r>
            <w:fldChar w:fldCharType="end"/>
          </w:r>
        </w:p>
        <w:p>
          <w:pPr>
            <w:pStyle w:val="32"/>
            <w:tabs>
              <w:tab w:val="right" w:leader="dot" w:pos="9446"/>
            </w:tabs>
            <w:ind w:left="420"/>
          </w:pPr>
          <w:r>
            <w:fldChar w:fldCharType="begin"/>
          </w:r>
          <w:r>
            <w:instrText xml:space="preserve"> HYPERLINK \l "_Toc24059" </w:instrText>
          </w:r>
          <w:r>
            <w:fldChar w:fldCharType="separate"/>
          </w:r>
          <w:r>
            <w:rPr>
              <w:rFonts w:hint="eastAsia" w:ascii="宋体" w:hAnsi="宋体"/>
              <w:bCs/>
              <w:szCs w:val="28"/>
            </w:rPr>
            <w:t>八、签订合同</w:t>
          </w:r>
          <w:r>
            <w:tab/>
          </w:r>
          <w:r>
            <w:fldChar w:fldCharType="begin"/>
          </w:r>
          <w:r>
            <w:instrText xml:space="preserve"> PAGEREF _Toc24059 </w:instrText>
          </w:r>
          <w:r>
            <w:fldChar w:fldCharType="separate"/>
          </w:r>
          <w:r>
            <w:t>13</w:t>
          </w:r>
          <w:r>
            <w:fldChar w:fldCharType="end"/>
          </w:r>
          <w:r>
            <w:fldChar w:fldCharType="end"/>
          </w:r>
        </w:p>
        <w:p>
          <w:pPr>
            <w:pStyle w:val="32"/>
            <w:tabs>
              <w:tab w:val="right" w:leader="dot" w:pos="9446"/>
            </w:tabs>
            <w:ind w:left="420"/>
          </w:pPr>
          <w:r>
            <w:fldChar w:fldCharType="begin"/>
          </w:r>
          <w:r>
            <w:instrText xml:space="preserve"> HYPERLINK \l "_Toc12796" </w:instrText>
          </w:r>
          <w:r>
            <w:fldChar w:fldCharType="separate"/>
          </w:r>
          <w:r>
            <w:rPr>
              <w:rFonts w:hint="eastAsia" w:ascii="宋体" w:hAnsi="宋体"/>
              <w:bCs/>
              <w:szCs w:val="28"/>
            </w:rPr>
            <w:t>九、公告、质疑</w:t>
          </w:r>
          <w:r>
            <w:tab/>
          </w:r>
          <w:r>
            <w:fldChar w:fldCharType="begin"/>
          </w:r>
          <w:r>
            <w:instrText xml:space="preserve"> PAGEREF _Toc12796 </w:instrText>
          </w:r>
          <w:r>
            <w:fldChar w:fldCharType="separate"/>
          </w:r>
          <w:r>
            <w:t>14</w:t>
          </w:r>
          <w:r>
            <w:fldChar w:fldCharType="end"/>
          </w:r>
          <w:r>
            <w:fldChar w:fldCharType="end"/>
          </w:r>
        </w:p>
        <w:p>
          <w:pPr>
            <w:pStyle w:val="32"/>
            <w:tabs>
              <w:tab w:val="right" w:leader="dot" w:pos="9446"/>
            </w:tabs>
            <w:ind w:left="420"/>
          </w:pPr>
          <w:r>
            <w:fldChar w:fldCharType="begin"/>
          </w:r>
          <w:r>
            <w:instrText xml:space="preserve"> HYPERLINK \l "_Toc28418" </w:instrText>
          </w:r>
          <w:r>
            <w:fldChar w:fldCharType="separate"/>
          </w:r>
          <w:r>
            <w:rPr>
              <w:rFonts w:hint="eastAsia" w:ascii="宋体" w:hAnsi="宋体"/>
              <w:bCs/>
              <w:szCs w:val="28"/>
            </w:rPr>
            <w:t>十、项目验收</w:t>
          </w:r>
          <w:r>
            <w:tab/>
          </w:r>
          <w:r>
            <w:fldChar w:fldCharType="begin"/>
          </w:r>
          <w:r>
            <w:instrText xml:space="preserve"> PAGEREF _Toc28418 </w:instrText>
          </w:r>
          <w:r>
            <w:fldChar w:fldCharType="separate"/>
          </w:r>
          <w:r>
            <w:t>14</w:t>
          </w:r>
          <w:r>
            <w:fldChar w:fldCharType="end"/>
          </w:r>
          <w:r>
            <w:fldChar w:fldCharType="end"/>
          </w:r>
        </w:p>
        <w:p>
          <w:pPr>
            <w:pStyle w:val="32"/>
            <w:tabs>
              <w:tab w:val="right" w:leader="dot" w:pos="9446"/>
            </w:tabs>
            <w:ind w:left="420"/>
          </w:pPr>
          <w:r>
            <w:fldChar w:fldCharType="begin"/>
          </w:r>
          <w:r>
            <w:instrText xml:space="preserve"> HYPERLINK \l "_Toc4160" </w:instrText>
          </w:r>
          <w:r>
            <w:fldChar w:fldCharType="separate"/>
          </w:r>
          <w:r>
            <w:rPr>
              <w:rFonts w:hint="eastAsia" w:ascii="宋体" w:hAnsi="宋体"/>
              <w:bCs/>
              <w:szCs w:val="28"/>
            </w:rPr>
            <w:t>十一、适用法律</w:t>
          </w:r>
          <w:r>
            <w:tab/>
          </w:r>
          <w:r>
            <w:fldChar w:fldCharType="begin"/>
          </w:r>
          <w:r>
            <w:instrText xml:space="preserve"> PAGEREF _Toc4160 </w:instrText>
          </w:r>
          <w:r>
            <w:fldChar w:fldCharType="separate"/>
          </w:r>
          <w:r>
            <w:t>14</w:t>
          </w:r>
          <w:r>
            <w:fldChar w:fldCharType="end"/>
          </w:r>
          <w:r>
            <w:fldChar w:fldCharType="end"/>
          </w:r>
        </w:p>
        <w:p>
          <w:pPr>
            <w:pStyle w:val="28"/>
            <w:tabs>
              <w:tab w:val="right" w:leader="dot" w:pos="9446"/>
              <w:tab w:val="clear" w:pos="9436"/>
            </w:tabs>
          </w:pPr>
          <w:r>
            <w:fldChar w:fldCharType="begin"/>
          </w:r>
          <w:r>
            <w:instrText xml:space="preserve"> HYPERLINK \l "_Toc22850" </w:instrText>
          </w:r>
          <w:r>
            <w:fldChar w:fldCharType="separate"/>
          </w:r>
          <w:r>
            <w:rPr>
              <w:rFonts w:hint="eastAsia"/>
            </w:rPr>
            <w:t>第三章 项目采购需求</w:t>
          </w:r>
          <w:r>
            <w:tab/>
          </w:r>
          <w:r>
            <w:fldChar w:fldCharType="begin"/>
          </w:r>
          <w:r>
            <w:instrText xml:space="preserve"> PAGEREF _Toc22850 </w:instrText>
          </w:r>
          <w:r>
            <w:fldChar w:fldCharType="separate"/>
          </w:r>
          <w:r>
            <w:t>15</w:t>
          </w:r>
          <w:r>
            <w:fldChar w:fldCharType="end"/>
          </w:r>
          <w:r>
            <w:fldChar w:fldCharType="end"/>
          </w:r>
        </w:p>
        <w:p>
          <w:pPr>
            <w:pStyle w:val="28"/>
            <w:tabs>
              <w:tab w:val="right" w:leader="dot" w:pos="9446"/>
              <w:tab w:val="clear" w:pos="9436"/>
            </w:tabs>
          </w:pPr>
          <w:r>
            <w:fldChar w:fldCharType="begin"/>
          </w:r>
          <w:r>
            <w:instrText xml:space="preserve"> HYPERLINK \l "_Toc29892" </w:instrText>
          </w:r>
          <w:r>
            <w:fldChar w:fldCharType="separate"/>
          </w:r>
          <w:r>
            <w:rPr>
              <w:rFonts w:hint="eastAsia"/>
            </w:rPr>
            <w:t>第四章 合同格式及合同条款</w:t>
          </w:r>
          <w:r>
            <w:tab/>
          </w:r>
          <w:r>
            <w:fldChar w:fldCharType="begin"/>
          </w:r>
          <w:r>
            <w:instrText xml:space="preserve"> PAGEREF _Toc29892 </w:instrText>
          </w:r>
          <w:r>
            <w:fldChar w:fldCharType="separate"/>
          </w:r>
          <w:r>
            <w:t>16</w:t>
          </w:r>
          <w:r>
            <w:fldChar w:fldCharType="end"/>
          </w:r>
          <w:r>
            <w:fldChar w:fldCharType="end"/>
          </w:r>
        </w:p>
        <w:p>
          <w:pPr>
            <w:pStyle w:val="28"/>
            <w:tabs>
              <w:tab w:val="right" w:leader="dot" w:pos="9446"/>
              <w:tab w:val="clear" w:pos="9436"/>
            </w:tabs>
          </w:pPr>
          <w:r>
            <w:fldChar w:fldCharType="begin"/>
          </w:r>
          <w:r>
            <w:instrText xml:space="preserve"> HYPERLINK \l "_Toc9410" </w:instrText>
          </w:r>
          <w:r>
            <w:fldChar w:fldCharType="separate"/>
          </w:r>
          <w:r>
            <w:rPr>
              <w:rFonts w:hint="eastAsia"/>
            </w:rPr>
            <w:t>第五章、  响应文件格式</w:t>
          </w:r>
          <w:r>
            <w:tab/>
          </w:r>
          <w:r>
            <w:fldChar w:fldCharType="begin"/>
          </w:r>
          <w:r>
            <w:instrText xml:space="preserve"> PAGEREF _Toc9410 </w:instrText>
          </w:r>
          <w:r>
            <w:fldChar w:fldCharType="separate"/>
          </w:r>
          <w:r>
            <w:t>58</w:t>
          </w:r>
          <w:r>
            <w:fldChar w:fldCharType="end"/>
          </w:r>
          <w:r>
            <w:fldChar w:fldCharType="end"/>
          </w:r>
        </w:p>
        <w:p>
          <w:pPr>
            <w:spacing w:line="360" w:lineRule="auto"/>
            <w:rPr>
              <w:rFonts w:asciiTheme="minorEastAsia" w:hAnsiTheme="minorEastAsia"/>
              <w:color w:val="000000" w:themeColor="text1"/>
              <w:sz w:val="28"/>
              <w:szCs w:val="28"/>
            </w:rPr>
            <w:sectPr>
              <w:footerReference r:id="rId5" w:type="first"/>
              <w:headerReference r:id="rId3" w:type="default"/>
              <w:footerReference r:id="rId4" w:type="default"/>
              <w:pgSz w:w="11906" w:h="16838"/>
              <w:pgMar w:top="1440" w:right="1230" w:bottom="1440" w:left="1230" w:header="851" w:footer="992" w:gutter="0"/>
              <w:cols w:space="0" w:num="1"/>
              <w:titlePg/>
              <w:docGrid w:type="lines" w:linePitch="314" w:charSpace="0"/>
            </w:sectPr>
          </w:pPr>
          <w:r>
            <w:rPr>
              <w:rFonts w:asciiTheme="minorEastAsia" w:hAnsiTheme="minorEastAsia"/>
              <w:bCs/>
              <w:color w:val="000000" w:themeColor="text1"/>
              <w:szCs w:val="28"/>
              <w:lang w:val="zh-CN"/>
            </w:rPr>
            <w:fldChar w:fldCharType="end"/>
          </w:r>
        </w:p>
      </w:sdtContent>
    </w:sdt>
    <w:p>
      <w:pPr>
        <w:pStyle w:val="5"/>
        <w:spacing w:line="360" w:lineRule="auto"/>
        <w:jc w:val="center"/>
      </w:pPr>
      <w:bookmarkStart w:id="2" w:name="_Toc530819745"/>
      <w:bookmarkStart w:id="3" w:name="_Toc26009"/>
      <w:bookmarkStart w:id="4" w:name="_Toc518049626"/>
      <w:bookmarkStart w:id="5" w:name="_Toc519082747"/>
      <w:r>
        <w:rPr>
          <w:rFonts w:hint="eastAsia"/>
        </w:rPr>
        <w:t>第一章谈判邀请函</w:t>
      </w:r>
      <w:bookmarkEnd w:id="2"/>
      <w:bookmarkEnd w:id="3"/>
      <w:bookmarkEnd w:id="4"/>
      <w:bookmarkEnd w:id="5"/>
    </w:p>
    <w:p>
      <w:pPr>
        <w:widowControl/>
        <w:spacing w:line="360" w:lineRule="auto"/>
        <w:ind w:firstLine="480" w:firstLineChars="200"/>
        <w:jc w:val="left"/>
        <w:rPr>
          <w:rFonts w:ascii="宋体" w:hAnsi="宋体" w:cs="宋体"/>
          <w:color w:val="000000"/>
          <w:kern w:val="0"/>
          <w:sz w:val="24"/>
          <w:szCs w:val="24"/>
        </w:rPr>
      </w:pPr>
      <w:bookmarkStart w:id="6" w:name="_Toc519082748"/>
      <w:bookmarkStart w:id="7" w:name="_Toc518049627"/>
      <w:bookmarkStart w:id="8" w:name="_Toc530819746"/>
      <w:bookmarkStart w:id="9" w:name="_Toc169"/>
      <w:r>
        <w:rPr>
          <w:rFonts w:hint="eastAsia" w:ascii="宋体" w:hAnsi="宋体" w:cs="宋体"/>
          <w:color w:val="000000"/>
          <w:kern w:val="0"/>
          <w:sz w:val="24"/>
          <w:szCs w:val="24"/>
        </w:rPr>
        <w:t>湖北兴焱工程咨询有限公司受湖北宜昌长江三峡游轮中心开发有限公司的委托，拟就“宜昌三峡国际游轮中心码头工程过渡期供电照明监控系统项目（第3次招标）”进行竞争性谈判采购，现邀请合格的供应商前来洽谈。</w:t>
      </w:r>
    </w:p>
    <w:p>
      <w:pPr>
        <w:widowControl/>
        <w:spacing w:line="360" w:lineRule="auto"/>
        <w:ind w:firstLine="482" w:firstLineChars="200"/>
        <w:jc w:val="left"/>
        <w:rPr>
          <w:rFonts w:ascii="宋体" w:hAnsi="宋体" w:cs="宋体"/>
          <w:b/>
          <w:color w:val="000000"/>
          <w:kern w:val="0"/>
          <w:sz w:val="24"/>
          <w:szCs w:val="24"/>
        </w:rPr>
      </w:pPr>
      <w:r>
        <w:rPr>
          <w:rFonts w:hint="eastAsia" w:ascii="宋体" w:hAnsi="宋体" w:cs="宋体"/>
          <w:b/>
          <w:color w:val="000000"/>
          <w:kern w:val="0"/>
          <w:sz w:val="24"/>
          <w:szCs w:val="24"/>
        </w:rPr>
        <w:t>一、项目概况：</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1、采购项目编号：HBXYZB(2020)164</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2、采购项目名称：</w:t>
      </w:r>
      <w:r>
        <w:rPr>
          <w:rFonts w:hint="eastAsia" w:ascii="宋体" w:hAnsi="宋体" w:cs="宋体"/>
          <w:color w:val="000000"/>
          <w:kern w:val="0"/>
          <w:sz w:val="24"/>
          <w:szCs w:val="24"/>
        </w:rPr>
        <w:t>宜昌三峡国际游轮中心码头工程过渡期供电照明监控系统项目（第3次招标）</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3、采购项目预算：人民币429215.4元。</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4、采购内容：设计施工图范围内的全部工作内容。包含建设宜昌三峡国际游轮中心码头工程码头过渡期供电照明监控系统：一是泊位照明系统控制系统，二是码头泊位的视频监控系统，三是综合总控室。（详见工程量清单）</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5、采购地点：</w:t>
      </w:r>
      <w:r>
        <w:rPr>
          <w:rFonts w:ascii="宋体" w:hAnsi="宋体" w:cs="宋体"/>
          <w:sz w:val="24"/>
          <w:lang w:val="zh-CN"/>
        </w:rPr>
        <w:t>宜昌市黄柏河河口左岸夜明珠片区</w:t>
      </w:r>
      <w:r>
        <w:rPr>
          <w:rFonts w:hint="eastAsia" w:ascii="宋体" w:hAnsi="宋体" w:cs="宋体"/>
          <w:bCs/>
          <w:color w:val="000000"/>
          <w:kern w:val="0"/>
          <w:sz w:val="24"/>
          <w:szCs w:val="24"/>
        </w:rPr>
        <w:t>。</w:t>
      </w:r>
    </w:p>
    <w:p>
      <w:pPr>
        <w:spacing w:line="360" w:lineRule="auto"/>
        <w:ind w:firstLine="480" w:firstLineChars="200"/>
        <w:jc w:val="left"/>
        <w:rPr>
          <w:rFonts w:ascii="宋体" w:hAnsi="宋体"/>
          <w:color w:val="000000"/>
          <w:sz w:val="24"/>
          <w:szCs w:val="24"/>
        </w:rPr>
      </w:pPr>
      <w:r>
        <w:rPr>
          <w:rFonts w:hint="eastAsia" w:ascii="宋体" w:hAnsi="宋体" w:cs="宋体"/>
          <w:bCs/>
          <w:color w:val="000000"/>
          <w:kern w:val="0"/>
          <w:sz w:val="24"/>
          <w:szCs w:val="24"/>
        </w:rPr>
        <w:t>6、采购</w:t>
      </w:r>
      <w:r>
        <w:rPr>
          <w:rFonts w:hint="eastAsia" w:ascii="宋体" w:hAnsi="宋体"/>
          <w:color w:val="000000"/>
          <w:sz w:val="24"/>
          <w:szCs w:val="24"/>
        </w:rPr>
        <w:t>工期要求：30日历天。</w:t>
      </w:r>
    </w:p>
    <w:p>
      <w:pPr>
        <w:spacing w:line="360" w:lineRule="auto"/>
        <w:ind w:firstLine="480" w:firstLineChars="200"/>
        <w:jc w:val="left"/>
        <w:rPr>
          <w:rFonts w:ascii="宋体" w:hAnsi="宋体"/>
          <w:color w:val="000000"/>
          <w:sz w:val="24"/>
          <w:szCs w:val="24"/>
        </w:rPr>
      </w:pPr>
      <w:r>
        <w:rPr>
          <w:rFonts w:hint="eastAsia" w:ascii="宋体" w:hAnsi="宋体"/>
          <w:color w:val="000000"/>
          <w:sz w:val="24"/>
          <w:szCs w:val="24"/>
        </w:rPr>
        <w:t>7、工程质量要求: 达到国家现行相关施工验收标准规范的合格等级标准。</w:t>
      </w:r>
    </w:p>
    <w:p>
      <w:pPr>
        <w:spacing w:line="360" w:lineRule="auto"/>
        <w:ind w:firstLine="480" w:firstLineChars="200"/>
        <w:jc w:val="left"/>
        <w:rPr>
          <w:rFonts w:ascii="宋体" w:hAnsi="宋体"/>
          <w:color w:val="000000"/>
          <w:sz w:val="24"/>
          <w:szCs w:val="24"/>
        </w:rPr>
      </w:pPr>
      <w:r>
        <w:rPr>
          <w:rFonts w:hint="eastAsia" w:ascii="宋体" w:hAnsi="宋体"/>
          <w:color w:val="000000"/>
          <w:sz w:val="24"/>
          <w:szCs w:val="24"/>
        </w:rPr>
        <w:t>8、安全生产要求：达到《建筑施工安全检查标准》（JGJ59-2011）合格标准，严格按合同专用条款有关安全文明施工条款的约定执行，避免发生重大安全事故。</w:t>
      </w:r>
    </w:p>
    <w:p>
      <w:pPr>
        <w:widowControl/>
        <w:spacing w:line="360" w:lineRule="auto"/>
        <w:ind w:firstLine="482" w:firstLineChars="200"/>
        <w:jc w:val="left"/>
        <w:rPr>
          <w:rFonts w:ascii="宋体" w:hAnsi="宋体" w:cs="宋体"/>
          <w:b/>
          <w:color w:val="000000"/>
          <w:kern w:val="0"/>
          <w:sz w:val="24"/>
          <w:szCs w:val="24"/>
        </w:rPr>
      </w:pPr>
      <w:r>
        <w:rPr>
          <w:rFonts w:hint="eastAsia" w:ascii="宋体" w:hAnsi="宋体" w:cs="宋体"/>
          <w:b/>
          <w:bCs/>
          <w:color w:val="000000"/>
          <w:kern w:val="0"/>
          <w:sz w:val="24"/>
          <w:szCs w:val="24"/>
        </w:rPr>
        <w:t>二、供应商资格要求：</w:t>
      </w:r>
    </w:p>
    <w:p>
      <w:pPr>
        <w:pStyle w:val="115"/>
        <w:shd w:val="clear" w:color="auto" w:fill="FFFFFF"/>
        <w:spacing w:line="360" w:lineRule="auto"/>
        <w:ind w:firstLine="480" w:firstLineChars="200"/>
        <w:rPr>
          <w:color w:val="000000"/>
          <w:kern w:val="2"/>
        </w:rPr>
      </w:pPr>
      <w:r>
        <w:rPr>
          <w:rFonts w:hint="eastAsia"/>
          <w:color w:val="000000"/>
          <w:kern w:val="2"/>
        </w:rPr>
        <w:t>供应商应具备《政府采购法》第二十二条规定的条件；</w:t>
      </w:r>
    </w:p>
    <w:p>
      <w:pPr>
        <w:widowControl/>
        <w:spacing w:line="360" w:lineRule="auto"/>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1、供应商具备建设行政主管部门颁发的电子与智能化工程专业承包贰级及以上资质或中国安全防范技术工程行业协会或中国安全防范产品行业协会颁发的安全技术防范系统设计、施工、维护贰级及以上资质；（提供资质证书复印件加盖单位公章）</w:t>
      </w:r>
    </w:p>
    <w:p>
      <w:pPr>
        <w:widowControl/>
        <w:spacing w:line="360" w:lineRule="auto"/>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2、供应商具有有效的法人营业执照，投标人不得以分公司名义进行投标，响应文件的单位盖章必须使用其法人公章，分公司盖章无效；（提供营业执照复印件加盖单位公章）</w:t>
      </w:r>
    </w:p>
    <w:p>
      <w:pPr>
        <w:widowControl/>
        <w:spacing w:line="540" w:lineRule="exact"/>
        <w:ind w:firstLine="480" w:firstLineChars="200"/>
        <w:jc w:val="left"/>
        <w:rPr>
          <w:rFonts w:ascii="宋体" w:hAnsi="宋体"/>
          <w:color w:val="000000"/>
          <w:sz w:val="24"/>
          <w:szCs w:val="24"/>
        </w:rPr>
      </w:pPr>
      <w:r>
        <w:rPr>
          <w:rFonts w:hint="eastAsia" w:ascii="宋体" w:hAnsi="宋体" w:cs="宋体"/>
          <w:color w:val="000000"/>
          <w:kern w:val="0"/>
          <w:sz w:val="24"/>
          <w:szCs w:val="24"/>
        </w:rPr>
        <w:t>3、</w:t>
      </w:r>
      <w:r>
        <w:rPr>
          <w:rFonts w:hint="eastAsia" w:ascii="宋体" w:hAnsi="宋体"/>
          <w:color w:val="000000"/>
          <w:sz w:val="24"/>
          <w:szCs w:val="24"/>
        </w:rPr>
        <w:t>通过“信用中国”网站（www.creditchina.gov.cn）、中国政府采购网（www.ccgp.gov.cn）等渠道查询的主体信用记录，供应商未被列入信用记录失信被执行人、重大税收违法案件当事人名单、政府采购严重违法失信行为记录名单，没有重大违法记录。</w:t>
      </w:r>
    </w:p>
    <w:p>
      <w:pPr>
        <w:widowControl/>
        <w:spacing w:line="360" w:lineRule="auto"/>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4、与采购人存在利害关系可能影响招标公正性的法人、其他组织或者个人，不得参加投标；</w:t>
      </w:r>
    </w:p>
    <w:p>
      <w:pPr>
        <w:widowControl/>
        <w:spacing w:line="360" w:lineRule="auto"/>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5、单位负责人为同一人或者存在控股、管理关系的不同单位，不得同时参加同一标段投标或者未划分标段的同一招标项目投标；</w:t>
      </w:r>
    </w:p>
    <w:p>
      <w:pPr>
        <w:widowControl/>
        <w:spacing w:line="360" w:lineRule="auto"/>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6、本项目不接受联合体参与谈判，供应商必须以独立供应商身份参与本次谈判。</w:t>
      </w:r>
    </w:p>
    <w:p>
      <w:pPr>
        <w:widowControl/>
        <w:spacing w:line="360" w:lineRule="auto"/>
        <w:ind w:firstLine="480" w:firstLineChars="200"/>
        <w:jc w:val="left"/>
        <w:rPr>
          <w:rFonts w:ascii="宋体" w:hAnsi="宋体" w:cs="宋体"/>
          <w:color w:val="000000"/>
          <w:kern w:val="0"/>
          <w:sz w:val="24"/>
          <w:szCs w:val="24"/>
        </w:rPr>
      </w:pPr>
      <w:r>
        <w:rPr>
          <w:rFonts w:hint="eastAsia" w:ascii="宋体" w:hAnsi="宋体" w:cs="宋体"/>
          <w:color w:val="000000"/>
          <w:kern w:val="0"/>
          <w:sz w:val="24"/>
          <w:szCs w:val="24"/>
        </w:rPr>
        <w:t>只有符合以上所有标准的供应商才能通过资格审查。</w:t>
      </w:r>
    </w:p>
    <w:p>
      <w:pPr>
        <w:widowControl/>
        <w:spacing w:line="360" w:lineRule="auto"/>
        <w:ind w:firstLine="482" w:firstLineChars="200"/>
        <w:jc w:val="left"/>
        <w:rPr>
          <w:rFonts w:ascii="宋体" w:hAnsi="宋体" w:cs="宋体"/>
          <w:b/>
          <w:bCs/>
          <w:color w:val="000000"/>
          <w:kern w:val="0"/>
          <w:sz w:val="24"/>
          <w:szCs w:val="24"/>
        </w:rPr>
      </w:pPr>
      <w:r>
        <w:rPr>
          <w:rFonts w:hint="eastAsia" w:ascii="宋体" w:hAnsi="宋体" w:cs="宋体"/>
          <w:b/>
          <w:bCs/>
          <w:color w:val="000000"/>
          <w:kern w:val="0"/>
          <w:sz w:val="24"/>
          <w:szCs w:val="24"/>
        </w:rPr>
        <w:t>三、政府采购相关政策执行：</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落实政府采购强制、优先采购节能产品政策；政府采购优先采购环保产品政策；政府采购促进中小企业发展（监狱企业、残疾人福利性单位视同微型企业）等政策。</w:t>
      </w:r>
    </w:p>
    <w:p>
      <w:pPr>
        <w:spacing w:line="360" w:lineRule="auto"/>
        <w:ind w:firstLine="482" w:firstLineChars="200"/>
        <w:jc w:val="left"/>
        <w:rPr>
          <w:rFonts w:ascii="宋体" w:hAnsi="宋体" w:cs="宋体"/>
          <w:b/>
          <w:color w:val="000000"/>
          <w:sz w:val="24"/>
          <w:szCs w:val="24"/>
        </w:rPr>
      </w:pPr>
      <w:r>
        <w:rPr>
          <w:rFonts w:hint="eastAsia" w:ascii="宋体" w:hAnsi="宋体" w:cs="宋体"/>
          <w:b/>
          <w:color w:val="000000"/>
          <w:sz w:val="24"/>
          <w:szCs w:val="24"/>
        </w:rPr>
        <w:t>四、谈判文件获取时间和获取方法：</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1、凡有意参加谈判者，请于2020年</w:t>
      </w:r>
      <w:r>
        <w:rPr>
          <w:rFonts w:hint="eastAsia" w:ascii="宋体" w:hAnsi="宋体" w:cs="宋体"/>
          <w:bCs/>
          <w:color w:val="000000"/>
          <w:kern w:val="0"/>
          <w:sz w:val="24"/>
          <w:szCs w:val="24"/>
          <w:lang w:val="en-US" w:eastAsia="zh-CN"/>
        </w:rPr>
        <w:t>12</w:t>
      </w:r>
      <w:r>
        <w:rPr>
          <w:rFonts w:hint="eastAsia" w:ascii="宋体" w:hAnsi="宋体" w:cs="宋体"/>
          <w:bCs/>
          <w:color w:val="000000"/>
          <w:kern w:val="0"/>
          <w:sz w:val="24"/>
          <w:szCs w:val="24"/>
        </w:rPr>
        <w:t>月</w:t>
      </w:r>
      <w:r>
        <w:rPr>
          <w:rFonts w:hint="eastAsia" w:ascii="宋体" w:hAnsi="宋体" w:cs="宋体"/>
          <w:bCs/>
          <w:color w:val="000000"/>
          <w:kern w:val="0"/>
          <w:sz w:val="24"/>
          <w:szCs w:val="24"/>
          <w:lang w:val="en-US" w:eastAsia="zh-CN"/>
        </w:rPr>
        <w:t>28</w:t>
      </w:r>
      <w:r>
        <w:rPr>
          <w:rFonts w:hint="eastAsia" w:ascii="宋体" w:hAnsi="宋体" w:cs="宋体"/>
          <w:bCs/>
          <w:color w:val="000000"/>
          <w:kern w:val="0"/>
          <w:sz w:val="24"/>
          <w:szCs w:val="24"/>
        </w:rPr>
        <w:t>日至2020年</w:t>
      </w:r>
      <w:r>
        <w:rPr>
          <w:rFonts w:hint="eastAsia" w:ascii="宋体" w:hAnsi="宋体" w:cs="宋体"/>
          <w:bCs/>
          <w:color w:val="000000"/>
          <w:kern w:val="0"/>
          <w:sz w:val="24"/>
          <w:szCs w:val="24"/>
          <w:lang w:val="en-US" w:eastAsia="zh-CN"/>
        </w:rPr>
        <w:t>12</w:t>
      </w:r>
      <w:r>
        <w:rPr>
          <w:rFonts w:hint="eastAsia" w:ascii="宋体" w:hAnsi="宋体" w:cs="宋体"/>
          <w:bCs/>
          <w:color w:val="000000"/>
          <w:kern w:val="0"/>
          <w:sz w:val="24"/>
          <w:szCs w:val="24"/>
        </w:rPr>
        <w:t>月</w:t>
      </w:r>
      <w:r>
        <w:rPr>
          <w:rFonts w:hint="eastAsia" w:ascii="宋体" w:hAnsi="宋体" w:cs="宋体"/>
          <w:bCs/>
          <w:color w:val="000000"/>
          <w:kern w:val="0"/>
          <w:sz w:val="24"/>
          <w:szCs w:val="24"/>
          <w:lang w:val="en-US" w:eastAsia="zh-CN"/>
        </w:rPr>
        <w:t>31</w:t>
      </w:r>
      <w:r>
        <w:rPr>
          <w:rFonts w:hint="eastAsia" w:ascii="宋体" w:hAnsi="宋体" w:cs="宋体"/>
          <w:bCs/>
          <w:color w:val="000000"/>
          <w:kern w:val="0"/>
          <w:sz w:val="24"/>
          <w:szCs w:val="24"/>
        </w:rPr>
        <w:t>日</w:t>
      </w:r>
      <w:r>
        <w:rPr>
          <w:rFonts w:hint="eastAsia" w:ascii="宋体" w:hAnsi="宋体" w:cs="宋体"/>
          <w:bCs/>
          <w:color w:val="000000"/>
          <w:kern w:val="0"/>
          <w:sz w:val="24"/>
          <w:szCs w:val="24"/>
          <w:lang w:val="en-US" w:eastAsia="zh-CN"/>
        </w:rPr>
        <w:t>17</w:t>
      </w:r>
      <w:r>
        <w:rPr>
          <w:rFonts w:hint="eastAsia" w:ascii="宋体" w:hAnsi="宋体" w:cs="宋体"/>
          <w:bCs/>
          <w:color w:val="000000"/>
          <w:kern w:val="0"/>
          <w:sz w:val="24"/>
          <w:szCs w:val="24"/>
        </w:rPr>
        <w:t>时30分在湖北宜昌交运集团股份有限公司官网下载。</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2、提问截止时间：2020年</w:t>
      </w:r>
      <w:r>
        <w:rPr>
          <w:rFonts w:hint="eastAsia" w:ascii="宋体" w:hAnsi="宋体" w:cs="宋体"/>
          <w:bCs/>
          <w:color w:val="000000"/>
          <w:kern w:val="0"/>
          <w:sz w:val="24"/>
          <w:szCs w:val="24"/>
          <w:lang w:val="en-US" w:eastAsia="zh-CN"/>
        </w:rPr>
        <w:t>12</w:t>
      </w:r>
      <w:r>
        <w:rPr>
          <w:rFonts w:hint="eastAsia" w:ascii="宋体" w:hAnsi="宋体" w:cs="宋体"/>
          <w:bCs/>
          <w:color w:val="000000"/>
          <w:kern w:val="0"/>
          <w:sz w:val="24"/>
          <w:szCs w:val="24"/>
        </w:rPr>
        <w:t>月</w:t>
      </w:r>
      <w:r>
        <w:rPr>
          <w:rFonts w:hint="eastAsia" w:ascii="宋体" w:hAnsi="宋体" w:cs="宋体"/>
          <w:bCs/>
          <w:color w:val="000000"/>
          <w:kern w:val="0"/>
          <w:sz w:val="24"/>
          <w:szCs w:val="24"/>
          <w:lang w:val="en-US" w:eastAsia="zh-CN"/>
        </w:rPr>
        <w:t>31</w:t>
      </w:r>
      <w:r>
        <w:rPr>
          <w:rFonts w:hint="eastAsia" w:ascii="宋体" w:hAnsi="宋体" w:cs="宋体"/>
          <w:bCs/>
          <w:color w:val="000000"/>
          <w:kern w:val="0"/>
          <w:sz w:val="24"/>
          <w:szCs w:val="24"/>
        </w:rPr>
        <w:t xml:space="preserve">日08时30分，有任何疑问请在规定时间内发送至邮箱。（邮箱地址：337939150 @qq.com） </w:t>
      </w:r>
    </w:p>
    <w:p>
      <w:pPr>
        <w:widowControl/>
        <w:spacing w:line="360" w:lineRule="auto"/>
        <w:ind w:firstLine="480" w:firstLineChars="200"/>
        <w:jc w:val="left"/>
        <w:rPr>
          <w:rFonts w:ascii="宋体" w:hAnsi="宋体" w:cs="宋体"/>
          <w:bCs/>
          <w:color w:val="000000"/>
          <w:kern w:val="0"/>
          <w:sz w:val="24"/>
          <w:szCs w:val="24"/>
        </w:rPr>
      </w:pPr>
      <w:r>
        <w:rPr>
          <w:rFonts w:hint="eastAsia" w:ascii="宋体" w:hAnsi="宋体" w:cs="宋体"/>
          <w:bCs/>
          <w:color w:val="000000"/>
          <w:kern w:val="0"/>
          <w:sz w:val="24"/>
          <w:szCs w:val="24"/>
        </w:rPr>
        <w:t>3、答疑文件发放时间：2020年</w:t>
      </w:r>
      <w:r>
        <w:rPr>
          <w:rFonts w:hint="eastAsia" w:ascii="宋体" w:hAnsi="宋体" w:cs="宋体"/>
          <w:bCs/>
          <w:color w:val="000000"/>
          <w:kern w:val="0"/>
          <w:sz w:val="24"/>
          <w:szCs w:val="24"/>
          <w:lang w:val="en-US" w:eastAsia="zh-CN"/>
        </w:rPr>
        <w:t>12</w:t>
      </w:r>
      <w:r>
        <w:rPr>
          <w:rFonts w:hint="eastAsia" w:ascii="宋体" w:hAnsi="宋体" w:cs="宋体"/>
          <w:bCs/>
          <w:color w:val="000000"/>
          <w:kern w:val="0"/>
          <w:sz w:val="24"/>
          <w:szCs w:val="24"/>
        </w:rPr>
        <w:t>月</w:t>
      </w:r>
      <w:r>
        <w:rPr>
          <w:rFonts w:hint="eastAsia" w:ascii="宋体" w:hAnsi="宋体" w:cs="宋体"/>
          <w:bCs/>
          <w:color w:val="000000"/>
          <w:kern w:val="0"/>
          <w:sz w:val="24"/>
          <w:szCs w:val="24"/>
          <w:lang w:val="en-US" w:eastAsia="zh-CN"/>
        </w:rPr>
        <w:t>31</w:t>
      </w:r>
      <w:r>
        <w:rPr>
          <w:rFonts w:hint="eastAsia" w:ascii="宋体" w:hAnsi="宋体" w:cs="宋体"/>
          <w:bCs/>
          <w:color w:val="000000"/>
          <w:kern w:val="0"/>
          <w:sz w:val="24"/>
          <w:szCs w:val="24"/>
        </w:rPr>
        <w:t>日1</w:t>
      </w:r>
      <w:r>
        <w:rPr>
          <w:rFonts w:hint="eastAsia" w:ascii="宋体" w:hAnsi="宋体" w:cs="宋体"/>
          <w:bCs/>
          <w:color w:val="000000"/>
          <w:kern w:val="0"/>
          <w:sz w:val="24"/>
          <w:szCs w:val="24"/>
          <w:lang w:val="en-US" w:eastAsia="zh-CN"/>
        </w:rPr>
        <w:t>7</w:t>
      </w:r>
      <w:r>
        <w:rPr>
          <w:rFonts w:hint="eastAsia" w:ascii="宋体" w:hAnsi="宋体" w:cs="宋体"/>
          <w:bCs/>
          <w:color w:val="000000"/>
          <w:kern w:val="0"/>
          <w:sz w:val="24"/>
          <w:szCs w:val="24"/>
        </w:rPr>
        <w:t>时30分（如遇特殊情况答疑时间顺延），在湖北宜昌交运集团股份有限公司官网下载。</w:t>
      </w:r>
    </w:p>
    <w:p>
      <w:pPr>
        <w:spacing w:line="360" w:lineRule="auto"/>
        <w:ind w:firstLine="482" w:firstLineChars="200"/>
        <w:jc w:val="left"/>
        <w:rPr>
          <w:rFonts w:ascii="宋体" w:hAnsi="宋体" w:cs="宋体"/>
          <w:b/>
          <w:color w:val="000000"/>
          <w:sz w:val="24"/>
          <w:szCs w:val="24"/>
        </w:rPr>
      </w:pPr>
      <w:r>
        <w:rPr>
          <w:rFonts w:hint="eastAsia" w:ascii="宋体" w:hAnsi="宋体" w:cs="宋体"/>
          <w:b/>
          <w:color w:val="000000"/>
          <w:sz w:val="24"/>
          <w:szCs w:val="24"/>
        </w:rPr>
        <w:t>五、谈判响应文件递交截止时间和递交地点：</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1、响应文件递交截止时间：202</w:t>
      </w:r>
      <w:r>
        <w:rPr>
          <w:rFonts w:hint="eastAsia" w:ascii="宋体" w:hAnsi="宋体" w:cs="宋体"/>
          <w:color w:val="000000"/>
          <w:sz w:val="24"/>
          <w:szCs w:val="24"/>
          <w:lang w:val="en-US" w:eastAsia="zh-CN"/>
        </w:rPr>
        <w:t>1</w:t>
      </w:r>
      <w:r>
        <w:rPr>
          <w:rFonts w:hint="eastAsia" w:ascii="宋体" w:hAnsi="宋体" w:cs="宋体"/>
          <w:color w:val="000000"/>
          <w:sz w:val="24"/>
          <w:szCs w:val="24"/>
        </w:rPr>
        <w:t>年</w:t>
      </w:r>
      <w:r>
        <w:rPr>
          <w:rFonts w:hint="eastAsia" w:ascii="宋体" w:hAnsi="宋体" w:cs="宋体"/>
          <w:color w:val="000000"/>
          <w:sz w:val="24"/>
          <w:szCs w:val="24"/>
          <w:lang w:val="en-US" w:eastAsia="zh-CN"/>
        </w:rPr>
        <w:t>1</w:t>
      </w:r>
      <w:r>
        <w:rPr>
          <w:rFonts w:hint="eastAsia" w:ascii="宋体" w:hAnsi="宋体" w:cs="宋体"/>
          <w:color w:val="000000"/>
          <w:sz w:val="24"/>
          <w:szCs w:val="24"/>
        </w:rPr>
        <w:t>月</w:t>
      </w:r>
      <w:r>
        <w:rPr>
          <w:rFonts w:hint="eastAsia" w:ascii="宋体" w:hAnsi="宋体" w:cs="宋体"/>
          <w:color w:val="000000"/>
          <w:sz w:val="24"/>
          <w:szCs w:val="24"/>
          <w:lang w:val="en-US" w:eastAsia="zh-CN"/>
        </w:rPr>
        <w:t>4</w:t>
      </w:r>
      <w:r>
        <w:rPr>
          <w:rFonts w:hint="eastAsia" w:ascii="宋体" w:hAnsi="宋体" w:cs="宋体"/>
          <w:color w:val="000000"/>
          <w:sz w:val="24"/>
          <w:szCs w:val="24"/>
        </w:rPr>
        <w:t>日下午1</w:t>
      </w:r>
      <w:r>
        <w:rPr>
          <w:rFonts w:hint="eastAsia" w:ascii="宋体" w:hAnsi="宋体" w:cs="宋体"/>
          <w:color w:val="000000"/>
          <w:sz w:val="24"/>
          <w:szCs w:val="24"/>
          <w:lang w:val="en-US" w:eastAsia="zh-CN"/>
        </w:rPr>
        <w:t>4</w:t>
      </w:r>
      <w:r>
        <w:rPr>
          <w:rFonts w:hint="eastAsia" w:ascii="宋体" w:hAnsi="宋体" w:cs="宋体"/>
          <w:color w:val="000000"/>
          <w:sz w:val="24"/>
          <w:szCs w:val="24"/>
        </w:rPr>
        <w:t>时</w:t>
      </w:r>
      <w:r>
        <w:rPr>
          <w:rFonts w:hint="eastAsia" w:ascii="宋体" w:hAnsi="宋体" w:cs="宋体"/>
          <w:color w:val="000000"/>
          <w:sz w:val="24"/>
          <w:szCs w:val="24"/>
          <w:lang w:val="en-US" w:eastAsia="zh-CN"/>
        </w:rPr>
        <w:t>3</w:t>
      </w:r>
      <w:r>
        <w:rPr>
          <w:rFonts w:hint="eastAsia" w:ascii="宋体" w:hAnsi="宋体" w:cs="宋体"/>
          <w:color w:val="000000"/>
          <w:sz w:val="24"/>
          <w:szCs w:val="24"/>
        </w:rPr>
        <w:t>0分。</w:t>
      </w:r>
    </w:p>
    <w:p>
      <w:pPr>
        <w:spacing w:line="360" w:lineRule="auto"/>
        <w:ind w:firstLine="480" w:firstLineChars="200"/>
        <w:jc w:val="left"/>
        <w:rPr>
          <w:rFonts w:ascii="宋体" w:hAnsi="宋体" w:cs="宋体"/>
          <w:sz w:val="24"/>
          <w:szCs w:val="24"/>
        </w:rPr>
      </w:pPr>
      <w:r>
        <w:rPr>
          <w:rFonts w:hint="eastAsia" w:ascii="宋体" w:hAnsi="宋体" w:cs="宋体"/>
          <w:color w:val="000000"/>
          <w:sz w:val="24"/>
          <w:szCs w:val="24"/>
        </w:rPr>
        <w:t>2、响应文件递交地点：</w:t>
      </w:r>
      <w:r>
        <w:rPr>
          <w:rFonts w:hint="eastAsia" w:ascii="宋体" w:hAnsi="宋体" w:cs="宋体"/>
          <w:sz w:val="24"/>
          <w:szCs w:val="24"/>
        </w:rPr>
        <w:t>供应商应在谈判截止时间前，法定代表人或委托代理人应</w:t>
      </w:r>
      <w:r>
        <w:rPr>
          <w:rFonts w:hint="eastAsia" w:ascii="宋体" w:hAnsi="宋体" w:cs="宋体"/>
          <w:b/>
          <w:bCs/>
          <w:sz w:val="24"/>
          <w:szCs w:val="24"/>
        </w:rPr>
        <w:t>单独</w:t>
      </w:r>
      <w:r>
        <w:rPr>
          <w:rFonts w:hint="eastAsia" w:ascii="宋体" w:hAnsi="宋体" w:cs="宋体"/>
          <w:sz w:val="24"/>
          <w:szCs w:val="24"/>
        </w:rPr>
        <w:t>携带身份证明文件原件（法定代表人身份证明或法人授权委托书）和第二代有效身份证原件，将加盖单位公章并密封的将纸质谈判响应文件和谈判响应文件电子文件送达至湖北兴焱工程咨询有限公司会议室 (宜昌市中南路35号兴发广场A座写字楼5楼)。</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逾期或未按要求送达的，采购人及采购代理机构将不予受理。响应文件递交截止时间是否有变化，请关注本次采购过程中发布的更正公告的相关信息。</w:t>
      </w:r>
    </w:p>
    <w:p>
      <w:pPr>
        <w:spacing w:line="360" w:lineRule="auto"/>
        <w:ind w:firstLine="482" w:firstLineChars="200"/>
        <w:jc w:val="left"/>
        <w:rPr>
          <w:rFonts w:ascii="宋体" w:hAnsi="宋体" w:cs="宋体"/>
          <w:b/>
          <w:color w:val="000000"/>
          <w:sz w:val="24"/>
          <w:szCs w:val="24"/>
        </w:rPr>
      </w:pPr>
      <w:r>
        <w:rPr>
          <w:rFonts w:hint="eastAsia" w:ascii="宋体" w:hAnsi="宋体" w:cs="宋体"/>
          <w:b/>
          <w:color w:val="000000"/>
          <w:sz w:val="24"/>
          <w:szCs w:val="24"/>
        </w:rPr>
        <w:t>六、谈判时间和地点：</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1、谈判时间：202</w:t>
      </w:r>
      <w:r>
        <w:rPr>
          <w:rFonts w:hint="eastAsia" w:ascii="宋体" w:hAnsi="宋体" w:cs="宋体"/>
          <w:color w:val="000000"/>
          <w:sz w:val="24"/>
          <w:szCs w:val="24"/>
          <w:lang w:val="en-US" w:eastAsia="zh-CN"/>
        </w:rPr>
        <w:t>1</w:t>
      </w:r>
      <w:r>
        <w:rPr>
          <w:rFonts w:hint="eastAsia" w:ascii="宋体" w:hAnsi="宋体" w:cs="宋体"/>
          <w:color w:val="000000"/>
          <w:sz w:val="24"/>
          <w:szCs w:val="24"/>
        </w:rPr>
        <w:t>年</w:t>
      </w:r>
      <w:r>
        <w:rPr>
          <w:rFonts w:hint="eastAsia" w:ascii="宋体" w:hAnsi="宋体" w:cs="宋体"/>
          <w:color w:val="000000"/>
          <w:sz w:val="24"/>
          <w:szCs w:val="24"/>
          <w:lang w:val="en-US" w:eastAsia="zh-CN"/>
        </w:rPr>
        <w:t>1</w:t>
      </w:r>
      <w:r>
        <w:rPr>
          <w:rFonts w:hint="eastAsia" w:ascii="宋体" w:hAnsi="宋体" w:cs="宋体"/>
          <w:color w:val="000000"/>
          <w:sz w:val="24"/>
          <w:szCs w:val="24"/>
        </w:rPr>
        <w:t>月</w:t>
      </w:r>
      <w:r>
        <w:rPr>
          <w:rFonts w:hint="eastAsia" w:ascii="宋体" w:hAnsi="宋体" w:cs="宋体"/>
          <w:color w:val="000000"/>
          <w:sz w:val="24"/>
          <w:szCs w:val="24"/>
          <w:lang w:val="en-US" w:eastAsia="zh-CN"/>
        </w:rPr>
        <w:t>4</w:t>
      </w:r>
      <w:r>
        <w:rPr>
          <w:rFonts w:hint="eastAsia" w:ascii="宋体" w:hAnsi="宋体" w:cs="宋体"/>
          <w:color w:val="000000"/>
          <w:sz w:val="24"/>
          <w:szCs w:val="24"/>
        </w:rPr>
        <w:t>日下午1</w:t>
      </w:r>
      <w:r>
        <w:rPr>
          <w:rFonts w:hint="eastAsia" w:ascii="宋体" w:hAnsi="宋体" w:cs="宋体"/>
          <w:color w:val="000000"/>
          <w:sz w:val="24"/>
          <w:szCs w:val="24"/>
          <w:lang w:val="en-US" w:eastAsia="zh-CN"/>
        </w:rPr>
        <w:t>4</w:t>
      </w:r>
      <w:r>
        <w:rPr>
          <w:rFonts w:hint="eastAsia" w:ascii="宋体" w:hAnsi="宋体" w:cs="宋体"/>
          <w:color w:val="000000"/>
          <w:sz w:val="24"/>
          <w:szCs w:val="24"/>
        </w:rPr>
        <w:t>时</w:t>
      </w:r>
      <w:r>
        <w:rPr>
          <w:rFonts w:hint="eastAsia" w:ascii="宋体" w:hAnsi="宋体" w:cs="宋体"/>
          <w:color w:val="000000"/>
          <w:sz w:val="24"/>
          <w:szCs w:val="24"/>
          <w:lang w:val="en-US" w:eastAsia="zh-CN"/>
        </w:rPr>
        <w:t>3</w:t>
      </w:r>
      <w:r>
        <w:rPr>
          <w:rFonts w:hint="eastAsia" w:ascii="宋体" w:hAnsi="宋体" w:cs="宋体"/>
          <w:color w:val="000000"/>
          <w:sz w:val="24"/>
          <w:szCs w:val="24"/>
        </w:rPr>
        <w:t>0分。</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2、谈判地点：湖北兴焱工程咨询有限公司会议室 （</w:t>
      </w:r>
      <w:r>
        <w:rPr>
          <w:rFonts w:ascii="宋体" w:hAnsi="宋体" w:cs="宋体"/>
          <w:color w:val="333333"/>
          <w:sz w:val="24"/>
          <w:shd w:val="clear" w:color="auto" w:fill="FFFFFF"/>
          <w:lang w:val="zh-CN"/>
        </w:rPr>
        <w:t>宜昌市中南路35号兴发广场A座写字楼5楼</w:t>
      </w:r>
      <w:r>
        <w:rPr>
          <w:rFonts w:hint="eastAsia" w:ascii="宋体" w:hAnsi="宋体" w:cs="宋体"/>
          <w:color w:val="000000"/>
          <w:sz w:val="24"/>
          <w:szCs w:val="24"/>
        </w:rPr>
        <w:t>）</w:t>
      </w:r>
    </w:p>
    <w:p>
      <w:pPr>
        <w:spacing w:line="360" w:lineRule="auto"/>
        <w:ind w:firstLine="482" w:firstLineChars="200"/>
        <w:jc w:val="left"/>
        <w:rPr>
          <w:rFonts w:ascii="宋体" w:hAnsi="宋体" w:cs="宋体"/>
          <w:color w:val="000000"/>
          <w:sz w:val="24"/>
          <w:szCs w:val="24"/>
        </w:rPr>
      </w:pPr>
      <w:r>
        <w:rPr>
          <w:rFonts w:hint="eastAsia" w:ascii="宋体" w:hAnsi="宋体" w:cs="宋体"/>
          <w:b/>
          <w:color w:val="000000"/>
          <w:sz w:val="24"/>
          <w:szCs w:val="24"/>
        </w:rPr>
        <w:t>七、公告期限：</w:t>
      </w:r>
      <w:r>
        <w:rPr>
          <w:rFonts w:hint="eastAsia" w:ascii="宋体" w:hAnsi="宋体" w:cs="宋体"/>
          <w:color w:val="000000"/>
          <w:sz w:val="24"/>
          <w:szCs w:val="24"/>
        </w:rPr>
        <w:t>自公告发布之日起3个工作日。</w:t>
      </w:r>
    </w:p>
    <w:p>
      <w:pPr>
        <w:spacing w:line="360" w:lineRule="auto"/>
        <w:ind w:firstLine="480" w:firstLineChars="200"/>
        <w:jc w:val="left"/>
        <w:rPr>
          <w:rFonts w:ascii="宋体" w:hAnsi="宋体" w:cs="宋体"/>
          <w:color w:val="000000"/>
          <w:sz w:val="24"/>
          <w:szCs w:val="24"/>
        </w:rPr>
      </w:pPr>
      <w:bookmarkStart w:id="10" w:name="EB15416889aca04531a0169e23c4604bc8"/>
      <w:r>
        <w:rPr>
          <w:rFonts w:hint="eastAsia" w:ascii="宋体" w:hAnsi="宋体" w:cs="宋体"/>
          <w:color w:val="000000"/>
          <w:sz w:val="24"/>
          <w:szCs w:val="24"/>
        </w:rPr>
        <w:t>发布公告的媒体：宜昌交通旅游产业发展集团有限公司官网、湖北宜昌交运集团股份有限公司官网、中国采购与招标网。</w:t>
      </w:r>
      <w:bookmarkEnd w:id="10"/>
    </w:p>
    <w:p>
      <w:pPr>
        <w:spacing w:line="360" w:lineRule="auto"/>
        <w:ind w:firstLine="482" w:firstLineChars="200"/>
        <w:jc w:val="left"/>
        <w:rPr>
          <w:rFonts w:ascii="宋体" w:hAnsi="宋体" w:cs="宋体"/>
          <w:b/>
          <w:color w:val="000000"/>
          <w:sz w:val="24"/>
          <w:szCs w:val="24"/>
        </w:rPr>
      </w:pPr>
      <w:r>
        <w:rPr>
          <w:rFonts w:hint="eastAsia" w:ascii="宋体" w:hAnsi="宋体" w:cs="宋体"/>
          <w:b/>
          <w:color w:val="000000"/>
          <w:sz w:val="24"/>
          <w:szCs w:val="24"/>
        </w:rPr>
        <w:t>八、联系方式：</w:t>
      </w:r>
    </w:p>
    <w:p>
      <w:pPr>
        <w:pStyle w:val="125"/>
        <w:spacing w:line="460" w:lineRule="atLeast"/>
        <w:ind w:firstLine="480"/>
        <w:rPr>
          <w:lang w:val="zh-CN"/>
        </w:rPr>
      </w:pPr>
      <w:r>
        <w:rPr>
          <w:rFonts w:hint="eastAsia" w:ascii="宋体" w:hAnsi="宋体" w:eastAsia="宋体" w:cs="宋体"/>
          <w:color w:val="333333"/>
          <w:sz w:val="24"/>
          <w:shd w:val="clear" w:color="auto" w:fill="FFFFFF"/>
          <w:lang w:val="zh-CN"/>
        </w:rPr>
        <w:t>采购人</w:t>
      </w:r>
      <w:r>
        <w:rPr>
          <w:rFonts w:ascii="宋体" w:hAnsi="宋体" w:eastAsia="宋体" w:cs="宋体"/>
          <w:color w:val="333333"/>
          <w:sz w:val="24"/>
          <w:shd w:val="clear" w:color="auto" w:fill="FFFFFF"/>
          <w:lang w:val="zh-CN"/>
        </w:rPr>
        <w:t>：湖北宜昌长江三峡游轮中心开发有限公司   </w:t>
      </w:r>
    </w:p>
    <w:p>
      <w:pPr>
        <w:pStyle w:val="125"/>
        <w:spacing w:line="460" w:lineRule="atLeast"/>
        <w:ind w:firstLine="480"/>
        <w:rPr>
          <w:lang w:val="zh-CN"/>
        </w:rPr>
      </w:pPr>
      <w:r>
        <w:rPr>
          <w:rFonts w:ascii="宋体" w:hAnsi="宋体" w:eastAsia="宋体" w:cs="宋体"/>
          <w:color w:val="333333"/>
          <w:sz w:val="24"/>
          <w:shd w:val="clear" w:color="auto" w:fill="FFFFFF"/>
          <w:lang w:val="zh-CN"/>
        </w:rPr>
        <w:t xml:space="preserve">地址：宜昌市西陵区明珠路65-1号明珠码头3楼 </w:t>
      </w:r>
    </w:p>
    <w:p>
      <w:pPr>
        <w:pStyle w:val="125"/>
        <w:spacing w:line="460" w:lineRule="atLeast"/>
        <w:ind w:firstLine="480"/>
        <w:rPr>
          <w:lang w:val="zh-CN"/>
        </w:rPr>
      </w:pPr>
      <w:r>
        <w:rPr>
          <w:rFonts w:ascii="宋体" w:hAnsi="宋体" w:eastAsia="宋体" w:cs="宋体"/>
          <w:color w:val="333333"/>
          <w:sz w:val="24"/>
          <w:shd w:val="clear" w:color="auto" w:fill="FFFFFF"/>
          <w:lang w:val="zh-CN"/>
        </w:rPr>
        <w:t>联系人：周阳</w:t>
      </w:r>
    </w:p>
    <w:p>
      <w:pPr>
        <w:pStyle w:val="125"/>
        <w:spacing w:line="460" w:lineRule="atLeast"/>
        <w:ind w:firstLine="480"/>
        <w:rPr>
          <w:lang w:val="zh-CN"/>
        </w:rPr>
      </w:pPr>
      <w:r>
        <w:rPr>
          <w:rFonts w:ascii="宋体" w:hAnsi="宋体" w:eastAsia="宋体" w:cs="宋体"/>
          <w:color w:val="333333"/>
          <w:sz w:val="24"/>
          <w:shd w:val="clear" w:color="auto" w:fill="FFFFFF"/>
          <w:lang w:val="zh-CN"/>
        </w:rPr>
        <w:t xml:space="preserve">联系电话：0717-6790937 </w:t>
      </w:r>
    </w:p>
    <w:p>
      <w:pPr>
        <w:pStyle w:val="125"/>
        <w:spacing w:line="460" w:lineRule="atLeast"/>
        <w:ind w:firstLine="480"/>
        <w:rPr>
          <w:lang w:val="zh-CN"/>
        </w:rPr>
      </w:pPr>
      <w:r>
        <w:rPr>
          <w:rFonts w:hint="eastAsia" w:ascii="宋体" w:hAnsi="宋体" w:eastAsia="宋体" w:cs="宋体"/>
          <w:color w:val="333333"/>
          <w:sz w:val="24"/>
          <w:shd w:val="clear" w:color="auto" w:fill="FFFFFF"/>
          <w:lang w:val="zh-CN"/>
        </w:rPr>
        <w:t>采购</w:t>
      </w:r>
      <w:r>
        <w:rPr>
          <w:rFonts w:ascii="宋体" w:hAnsi="宋体" w:eastAsia="宋体" w:cs="宋体"/>
          <w:color w:val="333333"/>
          <w:sz w:val="24"/>
          <w:shd w:val="clear" w:color="auto" w:fill="FFFFFF"/>
          <w:lang w:val="zh-CN"/>
        </w:rPr>
        <w:t xml:space="preserve">代理机构：湖北兴焱工程咨询有限公司 </w:t>
      </w:r>
    </w:p>
    <w:p>
      <w:pPr>
        <w:pStyle w:val="125"/>
        <w:spacing w:line="460" w:lineRule="atLeast"/>
        <w:ind w:firstLine="480"/>
        <w:rPr>
          <w:lang w:val="zh-CN"/>
        </w:rPr>
      </w:pPr>
      <w:r>
        <w:rPr>
          <w:rFonts w:ascii="宋体" w:hAnsi="宋体" w:eastAsia="宋体" w:cs="宋体"/>
          <w:color w:val="333333"/>
          <w:sz w:val="24"/>
          <w:shd w:val="clear" w:color="auto" w:fill="FFFFFF"/>
          <w:lang w:val="zh-CN"/>
        </w:rPr>
        <w:t>地址：宜昌市中南路35号兴发广场A座写字楼5楼</w:t>
      </w:r>
    </w:p>
    <w:p>
      <w:pPr>
        <w:pStyle w:val="125"/>
        <w:spacing w:line="460" w:lineRule="atLeast"/>
        <w:ind w:firstLine="480"/>
        <w:rPr>
          <w:lang w:val="zh-CN"/>
        </w:rPr>
      </w:pPr>
      <w:r>
        <w:rPr>
          <w:rFonts w:ascii="宋体" w:hAnsi="宋体" w:eastAsia="宋体" w:cs="宋体"/>
          <w:color w:val="333333"/>
          <w:sz w:val="24"/>
          <w:shd w:val="clear" w:color="auto" w:fill="FFFFFF"/>
          <w:lang w:val="zh-CN"/>
        </w:rPr>
        <w:t>联系人：彭冰洁</w:t>
      </w:r>
    </w:p>
    <w:p>
      <w:pPr>
        <w:pStyle w:val="125"/>
        <w:spacing w:line="460" w:lineRule="atLeast"/>
        <w:ind w:firstLine="480"/>
        <w:rPr>
          <w:lang w:val="zh-CN"/>
        </w:rPr>
      </w:pPr>
      <w:r>
        <w:rPr>
          <w:rFonts w:ascii="宋体" w:hAnsi="宋体" w:eastAsia="宋体" w:cs="宋体"/>
          <w:color w:val="333333"/>
          <w:sz w:val="24"/>
          <w:shd w:val="clear" w:color="auto" w:fill="FFFFFF"/>
          <w:lang w:val="zh-CN"/>
        </w:rPr>
        <w:t>联系电话：0717-6485566-8032</w:t>
      </w:r>
    </w:p>
    <w:p/>
    <w:p>
      <w:pPr>
        <w:pStyle w:val="5"/>
        <w:spacing w:line="360" w:lineRule="auto"/>
        <w:jc w:val="both"/>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5"/>
        <w:spacing w:line="360" w:lineRule="auto"/>
        <w:jc w:val="center"/>
      </w:pPr>
      <w:r>
        <w:rPr>
          <w:rFonts w:hint="eastAsia"/>
        </w:rPr>
        <w:t>第二章  谈判须知</w:t>
      </w:r>
      <w:bookmarkEnd w:id="6"/>
      <w:bookmarkEnd w:id="7"/>
      <w:bookmarkEnd w:id="8"/>
      <w:bookmarkEnd w:id="9"/>
    </w:p>
    <w:p>
      <w:pPr>
        <w:widowControl/>
        <w:spacing w:line="360" w:lineRule="auto"/>
        <w:jc w:val="center"/>
        <w:rPr>
          <w:rFonts w:asciiTheme="minorEastAsia" w:hAnsiTheme="minorEastAsia" w:cstheme="minorEastAsia"/>
          <w:color w:val="000000"/>
          <w:sz w:val="24"/>
          <w:szCs w:val="24"/>
        </w:rPr>
      </w:pPr>
      <w:bookmarkStart w:id="11" w:name="_Toc518049628"/>
      <w:bookmarkStart w:id="12" w:name="_Toc518046913"/>
      <w:bookmarkStart w:id="13" w:name="_Toc530819747"/>
      <w:bookmarkStart w:id="14" w:name="_Toc519082749"/>
      <w:r>
        <w:rPr>
          <w:rFonts w:hint="eastAsia" w:asciiTheme="minorEastAsia" w:hAnsiTheme="minorEastAsia" w:cstheme="minorEastAsia"/>
          <w:color w:val="000000"/>
          <w:sz w:val="24"/>
          <w:szCs w:val="24"/>
        </w:rPr>
        <w:t>供应商须知前附表</w:t>
      </w:r>
      <w:bookmarkEnd w:id="11"/>
      <w:bookmarkEnd w:id="12"/>
      <w:bookmarkEnd w:id="13"/>
      <w:bookmarkEnd w:id="14"/>
    </w:p>
    <w:tbl>
      <w:tblPr>
        <w:tblStyle w:val="37"/>
        <w:tblW w:w="9498"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126"/>
        <w:gridCol w:w="652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tblHeader/>
        </w:trPr>
        <w:tc>
          <w:tcPr>
            <w:tcW w:w="851" w:type="dxa"/>
            <w:vAlign w:val="center"/>
          </w:tcPr>
          <w:p>
            <w:pPr>
              <w:adjustRightInd w:val="0"/>
              <w:snapToGrid w:val="0"/>
              <w:spacing w:line="360" w:lineRule="auto"/>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序号</w:t>
            </w:r>
          </w:p>
        </w:tc>
        <w:tc>
          <w:tcPr>
            <w:tcW w:w="2126" w:type="dxa"/>
            <w:vAlign w:val="center"/>
          </w:tcPr>
          <w:p>
            <w:pPr>
              <w:adjustRightInd w:val="0"/>
              <w:snapToGrid w:val="0"/>
              <w:spacing w:line="360" w:lineRule="auto"/>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条款名称</w:t>
            </w:r>
          </w:p>
        </w:tc>
        <w:tc>
          <w:tcPr>
            <w:tcW w:w="6521" w:type="dxa"/>
            <w:vAlign w:val="center"/>
          </w:tcPr>
          <w:p>
            <w:pPr>
              <w:adjustRightInd w:val="0"/>
              <w:snapToGrid w:val="0"/>
              <w:spacing w:line="360" w:lineRule="auto"/>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项目名称</w:t>
            </w:r>
          </w:p>
        </w:tc>
        <w:tc>
          <w:tcPr>
            <w:tcW w:w="6521" w:type="dxa"/>
            <w:vAlign w:val="center"/>
          </w:tcPr>
          <w:p>
            <w:pPr>
              <w:widowControl/>
              <w:spacing w:line="360" w:lineRule="auto"/>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宜昌三峡国际游轮中心码头工程过渡期供电照明监控系统项目（第3次招标）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69"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2</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采购人</w:t>
            </w:r>
          </w:p>
        </w:tc>
        <w:tc>
          <w:tcPr>
            <w:tcW w:w="6521" w:type="dxa"/>
            <w:vAlign w:val="center"/>
          </w:tcPr>
          <w:p>
            <w:pPr>
              <w:pStyle w:val="116"/>
              <w:shd w:val="clear" w:color="auto" w:fill="FFFFFF"/>
              <w:spacing w:beforeAutospacing="0" w:afterAutospacing="0" w:line="360" w:lineRule="auto"/>
              <w:jc w:val="both"/>
              <w:rPr>
                <w:rFonts w:hint="default" w:cs="宋体"/>
                <w:color w:val="333333"/>
                <w:shd w:val="clear" w:color="auto" w:fill="FFFFFF"/>
                <w:lang w:val="zh-CN"/>
              </w:rPr>
            </w:pPr>
            <w:r>
              <w:rPr>
                <w:rFonts w:hint="default" w:cs="宋体"/>
                <w:color w:val="333333"/>
                <w:shd w:val="clear" w:color="auto" w:fill="FFFFFF"/>
                <w:lang w:val="zh-CN"/>
              </w:rPr>
              <w:t>名称：</w:t>
            </w:r>
            <w:r>
              <w:rPr>
                <w:rFonts w:cs="宋体"/>
                <w:color w:val="333333"/>
                <w:shd w:val="clear" w:color="auto" w:fill="FFFFFF"/>
                <w:lang w:val="zh-CN"/>
              </w:rPr>
              <w:t xml:space="preserve">湖北宜昌长江三峡游轮中心开发有限公司 </w:t>
            </w:r>
          </w:p>
          <w:p>
            <w:pPr>
              <w:pStyle w:val="116"/>
              <w:shd w:val="clear" w:color="auto" w:fill="FFFFFF"/>
              <w:spacing w:beforeAutospacing="0" w:afterAutospacing="0" w:line="360" w:lineRule="auto"/>
              <w:jc w:val="both"/>
              <w:rPr>
                <w:rFonts w:hint="default" w:cs="宋体"/>
                <w:color w:val="333333"/>
                <w:shd w:val="clear" w:color="auto" w:fill="FFFFFF"/>
                <w:lang w:val="zh-CN"/>
              </w:rPr>
            </w:pPr>
            <w:r>
              <w:rPr>
                <w:rFonts w:hint="default" w:cs="宋体"/>
                <w:color w:val="333333"/>
                <w:shd w:val="clear" w:color="auto" w:fill="FFFFFF"/>
                <w:lang w:val="zh-CN"/>
              </w:rPr>
              <w:t>地址：</w:t>
            </w:r>
            <w:r>
              <w:rPr>
                <w:rFonts w:cs="宋体"/>
                <w:color w:val="333333"/>
                <w:shd w:val="clear" w:color="auto" w:fill="FFFFFF"/>
                <w:lang w:val="zh-CN"/>
              </w:rPr>
              <w:t>宜昌市西陵区明珠路65-1号明珠码头3楼</w:t>
            </w:r>
          </w:p>
          <w:p>
            <w:pPr>
              <w:pStyle w:val="116"/>
              <w:shd w:val="clear" w:color="auto" w:fill="FFFFFF"/>
              <w:spacing w:beforeAutospacing="0" w:afterAutospacing="0" w:line="360" w:lineRule="auto"/>
              <w:jc w:val="both"/>
              <w:rPr>
                <w:rFonts w:hint="default" w:cs="宋体"/>
                <w:color w:val="333333"/>
                <w:shd w:val="clear" w:color="auto" w:fill="FFFFFF"/>
                <w:lang w:val="zh-CN"/>
              </w:rPr>
            </w:pPr>
            <w:r>
              <w:rPr>
                <w:rFonts w:hint="default" w:cs="宋体"/>
                <w:color w:val="333333"/>
                <w:shd w:val="clear" w:color="auto" w:fill="FFFFFF"/>
                <w:lang w:val="zh-CN"/>
              </w:rPr>
              <w:t xml:space="preserve">联系人：周阳 </w:t>
            </w:r>
          </w:p>
          <w:p>
            <w:pPr>
              <w:pStyle w:val="116"/>
              <w:shd w:val="clear" w:color="auto" w:fill="FFFFFF"/>
              <w:spacing w:beforeAutospacing="0" w:afterAutospacing="0" w:line="360" w:lineRule="auto"/>
              <w:jc w:val="both"/>
              <w:rPr>
                <w:rFonts w:hint="default" w:cs="宋体"/>
                <w:color w:val="333333"/>
                <w:shd w:val="clear" w:color="auto" w:fill="FFFFFF"/>
                <w:lang w:val="zh-CN"/>
              </w:rPr>
            </w:pPr>
            <w:r>
              <w:rPr>
                <w:rFonts w:hint="default" w:cs="宋体"/>
                <w:color w:val="333333"/>
                <w:shd w:val="clear" w:color="auto" w:fill="FFFFFF"/>
                <w:lang w:val="zh-CN"/>
              </w:rPr>
              <w:t>联系电话：0717-6790937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41"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3</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采购代理机构</w:t>
            </w:r>
          </w:p>
        </w:tc>
        <w:tc>
          <w:tcPr>
            <w:tcW w:w="6521" w:type="dxa"/>
            <w:vAlign w:val="center"/>
          </w:tcPr>
          <w:p>
            <w:pPr>
              <w:adjustRightInd w:val="0"/>
              <w:snapToGrid w:val="0"/>
              <w:spacing w:line="360" w:lineRule="auto"/>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名称:湖北兴焱工程咨询有限公司</w:t>
            </w:r>
          </w:p>
          <w:p>
            <w:pPr>
              <w:adjustRightInd w:val="0"/>
              <w:snapToGrid w:val="0"/>
              <w:spacing w:line="360" w:lineRule="auto"/>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联系人:彭冰洁</w:t>
            </w:r>
          </w:p>
          <w:p>
            <w:pPr>
              <w:adjustRightInd w:val="0"/>
              <w:snapToGrid w:val="0"/>
              <w:spacing w:line="360" w:lineRule="auto"/>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联系电话:0717-6485566-8032</w:t>
            </w:r>
          </w:p>
          <w:p>
            <w:pPr>
              <w:adjustRightInd w:val="0"/>
              <w:snapToGrid w:val="0"/>
              <w:spacing w:line="360" w:lineRule="auto"/>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联系地址:宜昌市中南路35号兴发广场A座写字楼5楼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5"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4</w:t>
            </w:r>
          </w:p>
        </w:tc>
        <w:tc>
          <w:tcPr>
            <w:tcW w:w="2126" w:type="dxa"/>
            <w:vAlign w:val="center"/>
          </w:tcPr>
          <w:p>
            <w:pPr>
              <w:adjustRightInd w:val="0"/>
              <w:snapToGrid w:val="0"/>
              <w:spacing w:line="360" w:lineRule="auto"/>
              <w:ind w:firstLine="31" w:firstLineChars="13"/>
              <w:jc w:val="center"/>
              <w:rPr>
                <w:rFonts w:asciiTheme="minorEastAsia" w:hAnsiTheme="minorEastAsia" w:cstheme="minorEastAsia"/>
                <w:color w:val="000000"/>
                <w:sz w:val="24"/>
                <w:szCs w:val="24"/>
              </w:rPr>
            </w:pPr>
            <w:r>
              <w:rPr>
                <w:rFonts w:hint="eastAsia" w:asciiTheme="minorEastAsia" w:hAnsiTheme="minorEastAsia" w:cstheme="minorEastAsia"/>
                <w:bCs/>
                <w:color w:val="000000"/>
                <w:sz w:val="24"/>
                <w:szCs w:val="24"/>
              </w:rPr>
              <w:t>供应商资格条件</w:t>
            </w:r>
          </w:p>
        </w:tc>
        <w:tc>
          <w:tcPr>
            <w:tcW w:w="6521" w:type="dxa"/>
            <w:vAlign w:val="center"/>
          </w:tcPr>
          <w:p>
            <w:pPr>
              <w:widowControl/>
              <w:spacing w:line="360" w:lineRule="auto"/>
              <w:jc w:val="left"/>
              <w:rPr>
                <w:color w:val="000000"/>
              </w:rPr>
            </w:pPr>
            <w:r>
              <w:rPr>
                <w:rFonts w:hint="eastAsia" w:asciiTheme="minorEastAsia" w:hAnsiTheme="minorEastAsia" w:cstheme="minorEastAsia"/>
                <w:color w:val="000000"/>
                <w:sz w:val="24"/>
                <w:szCs w:val="24"/>
              </w:rPr>
              <w:t>同竞争性谈判公告内容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5</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联合体谈判</w:t>
            </w:r>
          </w:p>
        </w:tc>
        <w:tc>
          <w:tcPr>
            <w:tcW w:w="6521" w:type="dxa"/>
            <w:vAlign w:val="center"/>
          </w:tcPr>
          <w:p>
            <w:pPr>
              <w:adjustRightInd w:val="0"/>
              <w:snapToGrid w:val="0"/>
              <w:spacing w:line="360" w:lineRule="auto"/>
              <w:rPr>
                <w:rFonts w:asciiTheme="minorEastAsia" w:hAnsiTheme="minorEastAsia" w:cstheme="minorEastAsia"/>
                <w:color w:val="000000"/>
                <w:sz w:val="24"/>
                <w:szCs w:val="24"/>
              </w:rPr>
            </w:pPr>
            <w:bookmarkStart w:id="15" w:name="EB227cf9266c114e0f9caf15678daa3748"/>
            <w:r>
              <w:rPr>
                <w:rFonts w:hint="eastAsia" w:asciiTheme="minorEastAsia" w:hAnsiTheme="minorEastAsia" w:cstheme="minorEastAsia"/>
                <w:color w:val="000000"/>
                <w:sz w:val="24"/>
                <w:szCs w:val="24"/>
              </w:rPr>
              <w:t xml:space="preserve">不接受 </w:t>
            </w:r>
            <w:bookmarkEnd w:id="15"/>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85"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6</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备选方案</w:t>
            </w:r>
          </w:p>
        </w:tc>
        <w:tc>
          <w:tcPr>
            <w:tcW w:w="6521" w:type="dxa"/>
            <w:vAlign w:val="center"/>
          </w:tcPr>
          <w:p>
            <w:pPr>
              <w:adjustRightInd w:val="0"/>
              <w:snapToGrid w:val="0"/>
              <w:spacing w:line="360" w:lineRule="auto"/>
              <w:rPr>
                <w:rFonts w:asciiTheme="minorEastAsia" w:hAnsiTheme="minorEastAsia" w:cstheme="minorEastAsia"/>
                <w:color w:val="000000"/>
                <w:sz w:val="24"/>
                <w:szCs w:val="24"/>
              </w:rPr>
            </w:pPr>
            <w:bookmarkStart w:id="16" w:name="EBcacd32d5aa2b415dacddec5df67ca48b"/>
            <w:r>
              <w:rPr>
                <w:rFonts w:hint="eastAsia" w:asciiTheme="minorEastAsia" w:hAnsiTheme="minorEastAsia" w:cstheme="minorEastAsia"/>
                <w:color w:val="000000"/>
                <w:sz w:val="24"/>
                <w:szCs w:val="24"/>
              </w:rPr>
              <w:t xml:space="preserve">不接受 </w:t>
            </w:r>
            <w:bookmarkEnd w:id="16"/>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7</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信息公告媒体</w:t>
            </w:r>
          </w:p>
        </w:tc>
        <w:tc>
          <w:tcPr>
            <w:tcW w:w="6521" w:type="dxa"/>
            <w:vAlign w:val="center"/>
          </w:tcPr>
          <w:p>
            <w:pPr>
              <w:adjustRightInd w:val="0"/>
              <w:snapToGrid w:val="0"/>
              <w:spacing w:line="360" w:lineRule="auto"/>
              <w:rPr>
                <w:rFonts w:asciiTheme="minorEastAsia" w:hAnsiTheme="minorEastAsia" w:cstheme="minorEastAsia"/>
                <w:color w:val="000000"/>
                <w:sz w:val="24"/>
                <w:szCs w:val="24"/>
              </w:rPr>
            </w:pPr>
            <w:bookmarkStart w:id="17" w:name="EB9569d9dd8f1d4373ac6e6d4cb501422b"/>
            <w:bookmarkEnd w:id="17"/>
            <w:r>
              <w:rPr>
                <w:rFonts w:hint="eastAsia" w:asciiTheme="minorEastAsia" w:hAnsiTheme="minorEastAsia" w:cstheme="minorEastAsia"/>
                <w:color w:val="000000"/>
                <w:sz w:val="24"/>
                <w:szCs w:val="24"/>
              </w:rPr>
              <w:t>宜昌交通旅游产业发展集团有限公司官网、湖北宜昌交运集团股份有限公司官网、中国采购与招标网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31"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8</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响应文件递交截止时间</w:t>
            </w:r>
          </w:p>
        </w:tc>
        <w:tc>
          <w:tcPr>
            <w:tcW w:w="6521" w:type="dxa"/>
            <w:vAlign w:val="center"/>
          </w:tcPr>
          <w:p>
            <w:pPr>
              <w:adjustRightInd w:val="0"/>
              <w:snapToGrid w:val="0"/>
              <w:spacing w:line="360" w:lineRule="auto"/>
              <w:rPr>
                <w:rFonts w:hint="eastAsia" w:asciiTheme="minorEastAsia" w:hAnsiTheme="minorEastAsia" w:eastAsiaTheme="minorEastAsia" w:cstheme="minorEastAsia"/>
                <w:color w:val="000000"/>
                <w:sz w:val="24"/>
                <w:szCs w:val="24"/>
                <w:lang w:val="en-US" w:eastAsia="zh-CN"/>
              </w:rPr>
            </w:pPr>
            <w:bookmarkStart w:id="18" w:name="EB401d28d30e8b4956baf898e5af6f5580"/>
            <w:bookmarkEnd w:id="18"/>
            <w:r>
              <w:rPr>
                <w:rFonts w:hint="eastAsia" w:asciiTheme="minorEastAsia" w:hAnsiTheme="minorEastAsia" w:cstheme="minorEastAsia"/>
                <w:color w:val="000000"/>
                <w:sz w:val="24"/>
                <w:szCs w:val="24"/>
              </w:rPr>
              <w:t>202</w:t>
            </w:r>
            <w:r>
              <w:rPr>
                <w:rFonts w:hint="eastAsia" w:asciiTheme="minorEastAsia" w:hAnsiTheme="minorEastAsia" w:cstheme="minorEastAsia"/>
                <w:color w:val="000000"/>
                <w:sz w:val="24"/>
                <w:szCs w:val="24"/>
                <w:lang w:val="en-US" w:eastAsia="zh-CN"/>
              </w:rPr>
              <w:t>1</w:t>
            </w:r>
            <w:r>
              <w:rPr>
                <w:rFonts w:hint="eastAsia" w:asciiTheme="minorEastAsia" w:hAnsiTheme="minorEastAsia" w:cstheme="minorEastAsia"/>
                <w:color w:val="000000"/>
                <w:sz w:val="24"/>
                <w:szCs w:val="24"/>
              </w:rPr>
              <w:t>年</w:t>
            </w:r>
            <w:r>
              <w:rPr>
                <w:rFonts w:hint="eastAsia" w:asciiTheme="minorEastAsia" w:hAnsiTheme="minorEastAsia" w:cstheme="minorEastAsia"/>
                <w:color w:val="000000"/>
                <w:sz w:val="24"/>
                <w:szCs w:val="24"/>
                <w:lang w:val="en-US" w:eastAsia="zh-CN"/>
              </w:rPr>
              <w:t>1</w:t>
            </w:r>
            <w:r>
              <w:rPr>
                <w:rFonts w:hint="eastAsia" w:asciiTheme="minorEastAsia" w:hAnsiTheme="minorEastAsia" w:cstheme="minorEastAsia"/>
                <w:color w:val="000000"/>
                <w:sz w:val="24"/>
                <w:szCs w:val="24"/>
              </w:rPr>
              <w:t>月</w:t>
            </w:r>
            <w:r>
              <w:rPr>
                <w:rFonts w:hint="eastAsia" w:asciiTheme="minorEastAsia" w:hAnsiTheme="minorEastAsia" w:cstheme="minorEastAsia"/>
                <w:color w:val="000000"/>
                <w:sz w:val="24"/>
                <w:szCs w:val="24"/>
                <w:lang w:val="en-US" w:eastAsia="zh-CN"/>
              </w:rPr>
              <w:t>4</w:t>
            </w:r>
            <w:r>
              <w:rPr>
                <w:rFonts w:hint="eastAsia" w:asciiTheme="minorEastAsia" w:hAnsiTheme="minorEastAsia" w:cstheme="minorEastAsia"/>
                <w:color w:val="000000"/>
                <w:sz w:val="24"/>
                <w:szCs w:val="24"/>
              </w:rPr>
              <w:t>日下午1</w:t>
            </w:r>
            <w:r>
              <w:rPr>
                <w:rFonts w:hint="eastAsia" w:asciiTheme="minorEastAsia" w:hAnsiTheme="minorEastAsia" w:cstheme="minorEastAsia"/>
                <w:color w:val="000000"/>
                <w:sz w:val="24"/>
                <w:szCs w:val="24"/>
                <w:lang w:val="en-US" w:eastAsia="zh-CN"/>
              </w:rPr>
              <w:t>4</w:t>
            </w:r>
            <w:r>
              <w:rPr>
                <w:rFonts w:hint="eastAsia" w:asciiTheme="minorEastAsia" w:hAnsiTheme="minorEastAsia" w:cstheme="minorEastAsia"/>
                <w:color w:val="000000"/>
                <w:sz w:val="24"/>
                <w:szCs w:val="24"/>
              </w:rPr>
              <w:t>时</w:t>
            </w:r>
            <w:r>
              <w:rPr>
                <w:rFonts w:hint="eastAsia" w:asciiTheme="minorEastAsia" w:hAnsiTheme="minorEastAsia" w:cstheme="minorEastAsia"/>
                <w:color w:val="000000"/>
                <w:sz w:val="24"/>
                <w:szCs w:val="24"/>
                <w:lang w:val="en-US" w:eastAsia="zh-CN"/>
              </w:rPr>
              <w:t>3</w:t>
            </w:r>
            <w:r>
              <w:rPr>
                <w:rFonts w:hint="eastAsia" w:asciiTheme="minorEastAsia" w:hAnsiTheme="minorEastAsia" w:cstheme="minorEastAsia"/>
                <w:color w:val="000000"/>
                <w:sz w:val="24"/>
                <w:szCs w:val="24"/>
              </w:rPr>
              <w:t>0分</w:t>
            </w:r>
            <w:r>
              <w:rPr>
                <w:rFonts w:hint="eastAsia" w:asciiTheme="minorEastAsia" w:hAnsiTheme="minorEastAsia" w:cstheme="minorEastAsia"/>
                <w:color w:val="000000"/>
                <w:sz w:val="24"/>
                <w:szCs w:val="24"/>
                <w:lang w:eastAsia="zh-CN"/>
              </w:rPr>
              <w:t>（</w:t>
            </w:r>
            <w:r>
              <w:rPr>
                <w:rFonts w:hint="eastAsia" w:asciiTheme="minorEastAsia" w:hAnsiTheme="minorEastAsia" w:cstheme="minorEastAsia"/>
                <w:color w:val="000000"/>
                <w:sz w:val="24"/>
                <w:szCs w:val="24"/>
                <w:lang w:val="en-US" w:eastAsia="zh-CN"/>
              </w:rPr>
              <w:t>14:00开始接收文件</w:t>
            </w:r>
            <w:bookmarkStart w:id="599" w:name="_GoBack"/>
            <w:bookmarkEnd w:id="599"/>
            <w:r>
              <w:rPr>
                <w:rFonts w:hint="eastAsia" w:asciiTheme="minorEastAsia" w:hAnsiTheme="minorEastAsia" w:cstheme="minorEastAsia"/>
                <w:color w:val="000000"/>
                <w:sz w:val="24"/>
                <w:szCs w:val="24"/>
                <w:lang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528"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9</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谈判时间、地点、时间</w:t>
            </w:r>
          </w:p>
        </w:tc>
        <w:tc>
          <w:tcPr>
            <w:tcW w:w="6521" w:type="dxa"/>
            <w:vAlign w:val="center"/>
          </w:tcPr>
          <w:p>
            <w:pPr>
              <w:adjustRightInd w:val="0"/>
              <w:snapToGrid w:val="0"/>
              <w:spacing w:line="360" w:lineRule="auto"/>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谈判时间：202</w:t>
            </w:r>
            <w:r>
              <w:rPr>
                <w:rFonts w:hint="eastAsia" w:asciiTheme="minorEastAsia" w:hAnsiTheme="minorEastAsia" w:cstheme="minorEastAsia"/>
                <w:color w:val="000000"/>
                <w:sz w:val="24"/>
                <w:szCs w:val="24"/>
                <w:lang w:val="en-US" w:eastAsia="zh-CN"/>
              </w:rPr>
              <w:t>1</w:t>
            </w:r>
            <w:r>
              <w:rPr>
                <w:rFonts w:hint="eastAsia" w:asciiTheme="minorEastAsia" w:hAnsiTheme="minorEastAsia" w:cstheme="minorEastAsia"/>
                <w:color w:val="000000"/>
                <w:sz w:val="24"/>
                <w:szCs w:val="24"/>
              </w:rPr>
              <w:t>年</w:t>
            </w:r>
            <w:r>
              <w:rPr>
                <w:rFonts w:hint="eastAsia" w:asciiTheme="minorEastAsia" w:hAnsiTheme="minorEastAsia" w:cstheme="minorEastAsia"/>
                <w:color w:val="000000"/>
                <w:sz w:val="24"/>
                <w:szCs w:val="24"/>
                <w:lang w:val="en-US" w:eastAsia="zh-CN"/>
              </w:rPr>
              <w:t>1</w:t>
            </w:r>
            <w:r>
              <w:rPr>
                <w:rFonts w:hint="eastAsia" w:asciiTheme="minorEastAsia" w:hAnsiTheme="minorEastAsia" w:cstheme="minorEastAsia"/>
                <w:color w:val="000000"/>
                <w:sz w:val="24"/>
                <w:szCs w:val="24"/>
              </w:rPr>
              <w:t>月</w:t>
            </w:r>
            <w:r>
              <w:rPr>
                <w:rFonts w:hint="eastAsia" w:asciiTheme="minorEastAsia" w:hAnsiTheme="minorEastAsia" w:cstheme="minorEastAsia"/>
                <w:color w:val="000000"/>
                <w:sz w:val="24"/>
                <w:szCs w:val="24"/>
                <w:lang w:val="en-US" w:eastAsia="zh-CN"/>
              </w:rPr>
              <w:t>4</w:t>
            </w:r>
            <w:r>
              <w:rPr>
                <w:rFonts w:hint="eastAsia" w:asciiTheme="minorEastAsia" w:hAnsiTheme="minorEastAsia" w:cstheme="minorEastAsia"/>
                <w:color w:val="000000"/>
                <w:sz w:val="24"/>
                <w:szCs w:val="24"/>
              </w:rPr>
              <w:t>日下午1</w:t>
            </w:r>
            <w:r>
              <w:rPr>
                <w:rFonts w:hint="eastAsia" w:asciiTheme="minorEastAsia" w:hAnsiTheme="minorEastAsia" w:cstheme="minorEastAsia"/>
                <w:color w:val="000000"/>
                <w:sz w:val="24"/>
                <w:szCs w:val="24"/>
                <w:lang w:val="en-US" w:eastAsia="zh-CN"/>
              </w:rPr>
              <w:t>4</w:t>
            </w:r>
            <w:r>
              <w:rPr>
                <w:rFonts w:hint="eastAsia" w:asciiTheme="minorEastAsia" w:hAnsiTheme="minorEastAsia" w:cstheme="minorEastAsia"/>
                <w:color w:val="000000"/>
                <w:sz w:val="24"/>
                <w:szCs w:val="24"/>
              </w:rPr>
              <w:t>时</w:t>
            </w:r>
            <w:r>
              <w:rPr>
                <w:rFonts w:hint="eastAsia" w:asciiTheme="minorEastAsia" w:hAnsiTheme="minorEastAsia" w:cstheme="minorEastAsia"/>
                <w:color w:val="000000"/>
                <w:sz w:val="24"/>
                <w:szCs w:val="24"/>
                <w:lang w:val="en-US" w:eastAsia="zh-CN"/>
              </w:rPr>
              <w:t>3</w:t>
            </w:r>
            <w:r>
              <w:rPr>
                <w:rFonts w:hint="eastAsia" w:asciiTheme="minorEastAsia" w:hAnsiTheme="minorEastAsia" w:cstheme="minorEastAsia"/>
                <w:color w:val="000000"/>
                <w:sz w:val="24"/>
                <w:szCs w:val="24"/>
              </w:rPr>
              <w:t>0分</w:t>
            </w:r>
          </w:p>
          <w:p>
            <w:pPr>
              <w:adjustRightInd w:val="0"/>
              <w:snapToGrid w:val="0"/>
              <w:spacing w:line="360" w:lineRule="auto"/>
              <w:jc w:val="left"/>
              <w:rPr>
                <w:rFonts w:asciiTheme="minorEastAsia" w:hAnsiTheme="minorEastAsia" w:cstheme="minorEastAsia"/>
                <w:color w:val="000000"/>
                <w:sz w:val="24"/>
                <w:szCs w:val="24"/>
                <w:u w:val="single"/>
              </w:rPr>
            </w:pPr>
            <w:r>
              <w:rPr>
                <w:rFonts w:hint="eastAsia" w:asciiTheme="minorEastAsia" w:hAnsiTheme="minorEastAsia" w:cstheme="minorEastAsia"/>
                <w:color w:val="000000"/>
                <w:sz w:val="24"/>
                <w:szCs w:val="24"/>
              </w:rPr>
              <w:t>谈判地点：湖北兴焱工程咨询有限公司会议室 (宜昌市中南路35号兴发广场A座写字楼5楼)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10</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谈判有效期</w:t>
            </w:r>
          </w:p>
        </w:tc>
        <w:tc>
          <w:tcPr>
            <w:tcW w:w="6521" w:type="dxa"/>
            <w:vAlign w:val="center"/>
          </w:tcPr>
          <w:p>
            <w:pPr>
              <w:adjustRightInd w:val="0"/>
              <w:snapToGrid w:val="0"/>
              <w:spacing w:line="360" w:lineRule="auto"/>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90日历天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11</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谈判保证金</w:t>
            </w:r>
          </w:p>
        </w:tc>
        <w:tc>
          <w:tcPr>
            <w:tcW w:w="6521" w:type="dxa"/>
            <w:vAlign w:val="center"/>
          </w:tcPr>
          <w:p>
            <w:pPr>
              <w:adjustRightInd w:val="0"/>
              <w:snapToGrid w:val="0"/>
              <w:spacing w:line="360" w:lineRule="auto"/>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本项目不收取谈判保证金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12</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谈判小组的组建及谈判专家的确定方式</w:t>
            </w:r>
          </w:p>
        </w:tc>
        <w:tc>
          <w:tcPr>
            <w:tcW w:w="6521" w:type="dxa"/>
            <w:vAlign w:val="center"/>
          </w:tcPr>
          <w:p>
            <w:pPr>
              <w:adjustRightInd w:val="0"/>
              <w:snapToGrid w:val="0"/>
              <w:spacing w:before="120" w:line="360" w:lineRule="auto"/>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采购单位依法组建谈判</w:t>
            </w:r>
            <w:r>
              <w:rPr>
                <w:rFonts w:hint="eastAsia" w:asciiTheme="minorEastAsia" w:hAnsiTheme="minorEastAsia" w:cstheme="minorEastAsia"/>
                <w:color w:val="000000"/>
                <w:kern w:val="0"/>
                <w:sz w:val="24"/>
                <w:szCs w:val="24"/>
              </w:rPr>
              <w:t>小组</w:t>
            </w:r>
            <w:r>
              <w:rPr>
                <w:rFonts w:hint="eastAsia" w:asciiTheme="minorEastAsia" w:hAnsiTheme="minorEastAsia" w:cstheme="minorEastAsia"/>
                <w:color w:val="000000"/>
                <w:sz w:val="24"/>
                <w:szCs w:val="24"/>
              </w:rPr>
              <w:t>，共3人组成，其中采购人代表</w:t>
            </w:r>
            <w:bookmarkStart w:id="19" w:name="EBd678f4071c564ea18ad0d4e399996c24"/>
            <w:r>
              <w:rPr>
                <w:rFonts w:hint="eastAsia" w:asciiTheme="minorEastAsia" w:hAnsiTheme="minorEastAsia" w:cstheme="minorEastAsia"/>
                <w:color w:val="000000"/>
                <w:sz w:val="24"/>
                <w:szCs w:val="24"/>
              </w:rPr>
              <w:t>1</w:t>
            </w:r>
            <w:bookmarkEnd w:id="19"/>
            <w:r>
              <w:rPr>
                <w:rFonts w:hint="eastAsia" w:asciiTheme="minorEastAsia" w:hAnsiTheme="minorEastAsia" w:cstheme="minorEastAsia"/>
                <w:color w:val="000000"/>
                <w:sz w:val="24"/>
                <w:szCs w:val="24"/>
              </w:rPr>
              <w:t>人和专家评委2人。</w:t>
            </w:r>
          </w:p>
          <w:p>
            <w:pPr>
              <w:adjustRightInd w:val="0"/>
              <w:snapToGrid w:val="0"/>
              <w:spacing w:before="120" w:line="360" w:lineRule="auto"/>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专家确定方式：</w:t>
            </w:r>
            <w:bookmarkStart w:id="20" w:name="EBa5520ca3fab542b2a211cbc6cae4ee2c"/>
            <w:r>
              <w:rPr>
                <w:rFonts w:hint="eastAsia" w:asciiTheme="minorEastAsia" w:hAnsiTheme="minorEastAsia" w:cstheme="minorEastAsia"/>
                <w:color w:val="000000"/>
                <w:sz w:val="24"/>
                <w:szCs w:val="24"/>
              </w:rPr>
              <w:t>由采购人依法组建。</w:t>
            </w:r>
            <w:bookmarkEnd w:id="20"/>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49"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13</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响应文件份数</w:t>
            </w:r>
          </w:p>
        </w:tc>
        <w:tc>
          <w:tcPr>
            <w:tcW w:w="6521" w:type="dxa"/>
            <w:vAlign w:val="center"/>
          </w:tcPr>
          <w:p>
            <w:pPr>
              <w:spacing w:line="360" w:lineRule="auto"/>
              <w:contextualSpacing/>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纸质文件正本：一份，副本：二份。</w:t>
            </w:r>
          </w:p>
          <w:p>
            <w:pPr>
              <w:spacing w:line="360" w:lineRule="auto"/>
              <w:contextualSpacing/>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响应文件光盘或U盘：两份。</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85"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14</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信用查询</w:t>
            </w:r>
          </w:p>
        </w:tc>
        <w:tc>
          <w:tcPr>
            <w:tcW w:w="6521" w:type="dxa"/>
            <w:vAlign w:val="center"/>
          </w:tcPr>
          <w:p>
            <w:pPr>
              <w:spacing w:line="360" w:lineRule="auto"/>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根据《财政部关于在政府采购活动中查询及使用信用记录有关问题的通知》（财库〔2016〕125号）的规定，评审现场由采购人代表通过“信用中国”网站（www.creditchina.gov.cn）、中国政府采购网（www.ccgp.gov.cn）等渠道查询供应商的主体信用记录，经供应商签字确认后归档留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8" w:hRule="atLeast"/>
        </w:trPr>
        <w:tc>
          <w:tcPr>
            <w:tcW w:w="851"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15</w:t>
            </w:r>
          </w:p>
        </w:tc>
        <w:tc>
          <w:tcPr>
            <w:tcW w:w="2126" w:type="dxa"/>
            <w:vAlign w:val="center"/>
          </w:tcPr>
          <w:p>
            <w:pPr>
              <w:adjustRightInd w:val="0"/>
              <w:snapToGrid w:val="0"/>
              <w:spacing w:line="360" w:lineRule="auto"/>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采购代理服务费</w:t>
            </w:r>
          </w:p>
        </w:tc>
        <w:tc>
          <w:tcPr>
            <w:tcW w:w="6521" w:type="dxa"/>
            <w:vAlign w:val="center"/>
          </w:tcPr>
          <w:p>
            <w:pPr>
              <w:spacing w:line="360" w:lineRule="auto"/>
              <w:jc w:val="left"/>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本项目采购代理服务费由采购人支付。</w:t>
            </w:r>
          </w:p>
        </w:tc>
      </w:tr>
    </w:tbl>
    <w:p>
      <w:pPr>
        <w:pStyle w:val="6"/>
        <w:keepNext/>
        <w:keepLines/>
        <w:jc w:val="both"/>
      </w:pPr>
      <w:bookmarkStart w:id="21" w:name="EBd34098ce03fb449287fac61989de9ba0"/>
      <w:bookmarkEnd w:id="21"/>
    </w:p>
    <w:p>
      <w:pPr>
        <w:pStyle w:val="6"/>
        <w:keepNext/>
        <w:keepLines/>
        <w:rPr>
          <w:rFonts w:ascii="宋体" w:hAnsi="宋体" w:eastAsia="宋体" w:cs="Times New Roman"/>
          <w:color w:val="000000"/>
          <w:sz w:val="24"/>
          <w:szCs w:val="24"/>
        </w:rPr>
      </w:pPr>
      <w:bookmarkStart w:id="22" w:name="_Toc26596"/>
      <w:r>
        <w:rPr>
          <w:rFonts w:hint="eastAsia" w:ascii="宋体" w:hAnsi="宋体" w:eastAsia="宋体" w:cs="Times New Roman"/>
          <w:color w:val="000000"/>
          <w:sz w:val="24"/>
          <w:szCs w:val="24"/>
        </w:rPr>
        <w:t>一、说明</w:t>
      </w:r>
      <w:bookmarkEnd w:id="22"/>
    </w:p>
    <w:p>
      <w:pPr>
        <w:tabs>
          <w:tab w:val="left" w:pos="0"/>
        </w:tabs>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1.适用范围</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1.1本竞争性谈判文件适用于本谈判邀请函中所述的工程类政府采购项目。</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2.定义</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2.1“采购人”是指：详见供应商须知前附表。</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2.2“谈判供应商”是指：符合本谈判文件规定并参加本项目谈判的供应商。</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2.3“采购代理机构”是指：详见供应商须知前附表。</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2.4“采购人和采购代理机构”统称为招标采购单位。</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2.5“成交供应商”是指：经谈判小组评审、推荐，采购人依法确定并授予合同的谈判供应商。</w:t>
      </w:r>
    </w:p>
    <w:p>
      <w:pPr>
        <w:spacing w:line="360" w:lineRule="auto"/>
        <w:ind w:firstLine="480" w:firstLineChars="200"/>
        <w:jc w:val="left"/>
        <w:rPr>
          <w:rFonts w:ascii="宋体" w:hAnsi="宋体" w:eastAsia="宋体" w:cs="Times New Roman"/>
          <w:color w:val="000000"/>
          <w:spacing w:val="-10"/>
          <w:sz w:val="24"/>
          <w:szCs w:val="24"/>
        </w:rPr>
      </w:pPr>
      <w:r>
        <w:rPr>
          <w:rFonts w:hint="eastAsia" w:ascii="宋体" w:hAnsi="宋体" w:eastAsia="宋体" w:cs="Times New Roman"/>
          <w:color w:val="000000"/>
          <w:sz w:val="24"/>
          <w:szCs w:val="24"/>
        </w:rPr>
        <w:t>2.6“服务”是</w:t>
      </w:r>
      <w:r>
        <w:rPr>
          <w:rFonts w:hint="eastAsia" w:ascii="宋体" w:hAnsi="宋体" w:eastAsia="宋体" w:cs="Times New Roman"/>
          <w:color w:val="000000"/>
          <w:spacing w:val="-10"/>
          <w:sz w:val="24"/>
          <w:szCs w:val="24"/>
        </w:rPr>
        <w:t>指：除货物和工程以外的其他政府采购对象。</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2.7“谈判响应文件”是指：谈判供应商根据本文件要求，编制包含报价、技术和服务等所有内容的文件。</w:t>
      </w:r>
    </w:p>
    <w:p>
      <w:pPr>
        <w:autoSpaceDE w:val="0"/>
        <w:autoSpaceDN w:val="0"/>
        <w:spacing w:line="360" w:lineRule="auto"/>
        <w:ind w:firstLine="480" w:firstLineChars="200"/>
        <w:jc w:val="left"/>
        <w:rPr>
          <w:rFonts w:ascii="宋体" w:hAnsi="宋体" w:eastAsia="宋体" w:cs="Times New Roman"/>
          <w:color w:val="000000"/>
          <w:sz w:val="24"/>
          <w:szCs w:val="24"/>
          <w:lang w:val="zh-CN"/>
        </w:rPr>
      </w:pPr>
      <w:r>
        <w:rPr>
          <w:rFonts w:hint="eastAsia" w:ascii="宋体" w:hAnsi="宋体" w:eastAsia="宋体" w:cs="Times New Roman"/>
          <w:color w:val="000000"/>
          <w:sz w:val="24"/>
          <w:szCs w:val="24"/>
        </w:rPr>
        <w:t>3.谈判供应商必须具备的基本条件</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3.1符合谈判文件“第一章 谈判邀请函”所规定的供应商资格要求。</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3.2 联合体：详见前附表。</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4.谈判费用</w:t>
      </w:r>
    </w:p>
    <w:p>
      <w:pPr>
        <w:spacing w:line="360" w:lineRule="auto"/>
        <w:ind w:firstLine="480" w:firstLineChars="200"/>
        <w:jc w:val="left"/>
        <w:rPr>
          <w:rFonts w:ascii="宋体" w:hAnsi="宋体" w:eastAsia="宋体" w:cs="Times New Roman"/>
          <w:b/>
          <w:bCs/>
          <w:color w:val="000000"/>
          <w:kern w:val="0"/>
          <w:sz w:val="24"/>
          <w:szCs w:val="24"/>
        </w:rPr>
      </w:pPr>
      <w:r>
        <w:rPr>
          <w:rFonts w:hint="eastAsia" w:ascii="宋体" w:hAnsi="宋体" w:eastAsia="宋体" w:cs="Times New Roman"/>
          <w:color w:val="000000"/>
          <w:sz w:val="24"/>
          <w:szCs w:val="24"/>
        </w:rPr>
        <w:t>4.1谈判供应商应自行承担所有与编写和提交竞争性谈判响应文件有关的费用，不论谈判结果如何，采购人和采购代理机构在任何情况下无义务和责任承担此类费用。</w:t>
      </w:r>
      <w:bookmarkStart w:id="23" w:name="_Toc505265120"/>
      <w:bookmarkStart w:id="24" w:name="_Toc530819748"/>
      <w:bookmarkStart w:id="25" w:name="_Toc519082750"/>
      <w:bookmarkStart w:id="26" w:name="_Toc487554919"/>
      <w:bookmarkStart w:id="27" w:name="_Toc456291977"/>
      <w:bookmarkStart w:id="28" w:name="_Toc293740136"/>
      <w:bookmarkStart w:id="29" w:name="_Toc518660979"/>
      <w:bookmarkStart w:id="30" w:name="_Toc456292213"/>
      <w:bookmarkStart w:id="31" w:name="_Toc505264997"/>
      <w:bookmarkStart w:id="32" w:name="_Toc456292137"/>
      <w:bookmarkStart w:id="33" w:name="_Toc450677268"/>
      <w:bookmarkStart w:id="34" w:name="_Toc456292026"/>
      <w:bookmarkStart w:id="35" w:name="_Toc462488079"/>
      <w:bookmarkStart w:id="36" w:name="_Toc293740092"/>
      <w:bookmarkStart w:id="37" w:name="_Toc456292091"/>
      <w:bookmarkStart w:id="38" w:name="_Toc293740093"/>
      <w:bookmarkStart w:id="39" w:name="_Toc293740137"/>
    </w:p>
    <w:p>
      <w:pPr>
        <w:keepNext/>
        <w:keepLines/>
        <w:spacing w:afterLines="50" w:line="360" w:lineRule="auto"/>
        <w:jc w:val="center"/>
        <w:outlineLvl w:val="1"/>
        <w:rPr>
          <w:rFonts w:ascii="宋体" w:hAnsi="宋体" w:eastAsia="宋体" w:cs="Times New Roman"/>
          <w:bCs/>
          <w:color w:val="000000"/>
          <w:kern w:val="0"/>
          <w:sz w:val="28"/>
          <w:szCs w:val="28"/>
        </w:rPr>
      </w:pPr>
      <w:bookmarkStart w:id="40" w:name="_Toc13918"/>
      <w:r>
        <w:rPr>
          <w:rFonts w:hint="eastAsia" w:ascii="宋体" w:hAnsi="宋体" w:eastAsia="宋体" w:cs="Times New Roman"/>
          <w:bCs/>
          <w:color w:val="000000"/>
          <w:kern w:val="0"/>
          <w:sz w:val="28"/>
          <w:szCs w:val="28"/>
        </w:rPr>
        <w:t>二、竞争性谈判响应文件的编制</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40"/>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5.竞争性谈判响应文件编制基本要求</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5.1谈判供应商提交的竞争性谈判响应文件以及谈判供应商与采购人和采购代理机构就有关谈判的所有来往函电均应使用中文。谈判供应商提交的支持文件和印刷的文献可以使用别的语言，但其相应内容必须附有中文翻译文本，在解释竞争性谈判响应文件时以翻译文本为主。</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5.2谈判供应商应认真阅读、并充分理解本文件的全部内容（包括所有的补充、修改内容），承诺并履行本文件中各项条款规定及要求。</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5.3竞争性谈判响应文件必须按本文件的全部内容，包括所有的补充通知及附件进行编制。</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5.4如因谈判供应商只填写和提供了本文件要求的部分内容和附件，而给评审造成困难，其可能导致的结果和责任由谈判供应商自行承担。</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6.竞争性谈判响应文件的组成</w:t>
      </w:r>
    </w:p>
    <w:p>
      <w:pPr>
        <w:spacing w:line="360" w:lineRule="auto"/>
        <w:ind w:firstLine="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竞争性谈判响应文件应分为 “商务文件”、“技术文件”两个部分组成。</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6.1商务文件（详见第五章商务文件组成）</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6.2技术文件（详见第五章技术文件组成）</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7.竞争性谈判响应文件的编制</w:t>
      </w:r>
    </w:p>
    <w:p>
      <w:pPr>
        <w:spacing w:line="360" w:lineRule="auto"/>
        <w:ind w:firstLine="480" w:firstLineChars="200"/>
        <w:jc w:val="left"/>
        <w:rPr>
          <w:rFonts w:ascii="宋体" w:hAnsi="宋体" w:eastAsia="宋体" w:cs="Times New Roman"/>
          <w:b/>
          <w:bCs/>
          <w:color w:val="000000"/>
          <w:sz w:val="24"/>
          <w:szCs w:val="24"/>
        </w:rPr>
      </w:pPr>
      <w:r>
        <w:rPr>
          <w:rFonts w:hint="eastAsia" w:ascii="宋体" w:hAnsi="宋体" w:eastAsia="宋体" w:cs="Times New Roman"/>
          <w:color w:val="000000"/>
          <w:sz w:val="24"/>
          <w:szCs w:val="24"/>
        </w:rPr>
        <w:t>7.1供应商必须编制一份响应文件“正本一份”“副本两份”，并明确标明“正本”和“副本”。</w:t>
      </w:r>
      <w:r>
        <w:rPr>
          <w:rFonts w:hint="eastAsia" w:ascii="宋体" w:hAnsi="宋体" w:eastAsia="宋体" w:cs="Times New Roman"/>
          <w:b/>
          <w:bCs/>
          <w:color w:val="000000"/>
          <w:sz w:val="24"/>
          <w:szCs w:val="24"/>
        </w:rPr>
        <w:t>谈判响应文件正本须由单位法定代表人或经法定代表人书面授权的代表逐页签字并加盖公章。</w:t>
      </w:r>
      <w:r>
        <w:rPr>
          <w:rFonts w:hint="eastAsia" w:ascii="宋体" w:hAnsi="宋体" w:eastAsia="宋体" w:cs="Times New Roman"/>
          <w:color w:val="000000"/>
          <w:sz w:val="24"/>
          <w:szCs w:val="24"/>
        </w:rPr>
        <w:t>响应文件正本与副本均应使用不能擦去的墨水书写或打印，响应文件正本和副本如有不一致之处，以正本为准（本项目响应文件不得采用活页装订</w:t>
      </w:r>
      <w:r>
        <w:rPr>
          <w:rFonts w:hint="eastAsia" w:ascii="宋体" w:hAnsi="宋体" w:eastAsia="宋体" w:cs="Times New Roman"/>
          <w:b/>
          <w:bCs/>
          <w:color w:val="000000"/>
          <w:sz w:val="24"/>
          <w:szCs w:val="24"/>
        </w:rPr>
        <w:t>）。</w:t>
      </w:r>
    </w:p>
    <w:p>
      <w:pPr>
        <w:spacing w:line="360" w:lineRule="auto"/>
        <w:ind w:firstLine="482" w:firstLineChars="200"/>
        <w:jc w:val="left"/>
        <w:rPr>
          <w:rFonts w:ascii="宋体" w:hAnsi="宋体" w:eastAsia="宋体" w:cs="Times New Roman"/>
          <w:b/>
          <w:bCs/>
          <w:color w:val="000000"/>
          <w:sz w:val="24"/>
          <w:szCs w:val="24"/>
        </w:rPr>
      </w:pPr>
      <w:r>
        <w:rPr>
          <w:rFonts w:hint="eastAsia" w:ascii="宋体" w:hAnsi="宋体" w:eastAsia="宋体" w:cs="Times New Roman"/>
          <w:b/>
          <w:bCs/>
          <w:color w:val="000000"/>
          <w:sz w:val="24"/>
          <w:szCs w:val="24"/>
        </w:rPr>
        <w:t>7.2 供应商编制的响应文件应有准确的目录及页码。</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8.计量单位</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8.1除技术要求中另有规定外，本文件所要求使用的计量单位均应采用国家法定计量单位。</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9.谈判的有效期</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9.1谈判有效期详见供应商须知前附表。谈判供应商谈判有效期不足的将被视为无效谈判。</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9.2特殊情况下，在原谈判有效期截止之前，采购人或采购代理机构可要求谈判供应商延长谈判有效期。这种要求与答复均应以书面形式提交。</w:t>
      </w:r>
    </w:p>
    <w:p>
      <w:pPr>
        <w:keepNext/>
        <w:keepLines/>
        <w:spacing w:afterLines="50" w:line="360" w:lineRule="auto"/>
        <w:jc w:val="center"/>
        <w:outlineLvl w:val="1"/>
        <w:rPr>
          <w:rFonts w:ascii="宋体" w:hAnsi="宋体" w:eastAsia="宋体" w:cs="Times New Roman"/>
          <w:bCs/>
          <w:color w:val="000000"/>
          <w:kern w:val="0"/>
          <w:sz w:val="28"/>
          <w:szCs w:val="28"/>
        </w:rPr>
      </w:pPr>
      <w:bookmarkStart w:id="41" w:name="_Toc456292138"/>
      <w:bookmarkStart w:id="42" w:name="_Toc450677269"/>
      <w:bookmarkStart w:id="43" w:name="_Toc456291978"/>
      <w:bookmarkStart w:id="44" w:name="_Toc456292027"/>
      <w:bookmarkStart w:id="45" w:name="_Toc456292092"/>
      <w:bookmarkStart w:id="46" w:name="_Toc487554920"/>
      <w:bookmarkStart w:id="47" w:name="_Toc456292214"/>
      <w:bookmarkStart w:id="48" w:name="_Toc518660980"/>
      <w:bookmarkStart w:id="49" w:name="_Toc30242"/>
      <w:bookmarkStart w:id="50" w:name="_Toc462488080"/>
      <w:bookmarkStart w:id="51" w:name="_Toc505264998"/>
      <w:bookmarkStart w:id="52" w:name="_Toc505265121"/>
      <w:r>
        <w:rPr>
          <w:rFonts w:hint="eastAsia" w:ascii="宋体" w:hAnsi="宋体" w:eastAsia="宋体" w:cs="Times New Roman"/>
          <w:bCs/>
          <w:color w:val="000000"/>
          <w:kern w:val="0"/>
          <w:sz w:val="28"/>
          <w:szCs w:val="28"/>
        </w:rPr>
        <w:t>三、谈判报价要求</w:t>
      </w:r>
      <w:bookmarkEnd w:id="38"/>
      <w:bookmarkEnd w:id="39"/>
      <w:bookmarkEnd w:id="41"/>
      <w:bookmarkEnd w:id="42"/>
      <w:bookmarkEnd w:id="43"/>
      <w:bookmarkEnd w:id="44"/>
      <w:bookmarkEnd w:id="45"/>
      <w:bookmarkEnd w:id="46"/>
      <w:bookmarkEnd w:id="47"/>
      <w:bookmarkEnd w:id="48"/>
      <w:bookmarkEnd w:id="49"/>
      <w:bookmarkEnd w:id="50"/>
      <w:bookmarkEnd w:id="51"/>
      <w:bookmarkEnd w:id="52"/>
    </w:p>
    <w:p>
      <w:pPr>
        <w:spacing w:line="360" w:lineRule="auto"/>
        <w:ind w:firstLine="480" w:firstLineChars="200"/>
        <w:jc w:val="left"/>
        <w:rPr>
          <w:rFonts w:ascii="宋体" w:hAnsi="宋体" w:eastAsia="宋体" w:cs="Times New Roman"/>
          <w:sz w:val="24"/>
          <w:szCs w:val="24"/>
        </w:rPr>
      </w:pPr>
      <w:bookmarkStart w:id="53" w:name="_Toc518660981"/>
      <w:bookmarkStart w:id="54" w:name="_Toc456292215"/>
      <w:bookmarkStart w:id="55" w:name="_Toc450677270"/>
      <w:bookmarkStart w:id="56" w:name="_Toc487554921"/>
      <w:bookmarkStart w:id="57" w:name="_Toc519082751"/>
      <w:bookmarkStart w:id="58" w:name="_Toc505265122"/>
      <w:bookmarkStart w:id="59" w:name="_Toc456292093"/>
      <w:bookmarkStart w:id="60" w:name="_Toc505264999"/>
      <w:bookmarkStart w:id="61" w:name="_Toc456292139"/>
      <w:bookmarkStart w:id="62" w:name="_Toc530819749"/>
      <w:bookmarkStart w:id="63" w:name="_Toc293740094"/>
      <w:bookmarkStart w:id="64" w:name="_Toc456291979"/>
      <w:bookmarkStart w:id="65" w:name="_Toc293740138"/>
      <w:bookmarkStart w:id="66" w:name="_Toc456292028"/>
      <w:bookmarkStart w:id="67" w:name="_Toc462488081"/>
      <w:r>
        <w:rPr>
          <w:rFonts w:hint="eastAsia" w:ascii="宋体" w:hAnsi="宋体" w:eastAsia="宋体" w:cs="Times New Roman"/>
          <w:sz w:val="24"/>
          <w:szCs w:val="24"/>
        </w:rPr>
        <w:t>10.谈判报价说明</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10.1供应商所提供的服务均以人民币报价，报价应根据招标文件中的有关计价要求，并按照下列依据自主报价：</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《建设工程工程量清单计价规范》（</w:t>
      </w:r>
      <w:r>
        <w:rPr>
          <w:rFonts w:ascii="宋体" w:hAnsi="宋体" w:eastAsia="宋体" w:cs="Times New Roman"/>
          <w:sz w:val="24"/>
          <w:szCs w:val="24"/>
        </w:rPr>
        <w:t>GB50500-2013</w:t>
      </w:r>
      <w:r>
        <w:rPr>
          <w:rFonts w:hint="eastAsia" w:ascii="宋体" w:hAnsi="宋体" w:eastAsia="宋体" w:cs="Times New Roman"/>
          <w:sz w:val="24"/>
          <w:szCs w:val="24"/>
        </w:rPr>
        <w:t>）；</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(2)</w:t>
      </w:r>
      <w:r>
        <w:rPr>
          <w:rFonts w:hint="eastAsia" w:ascii="宋体" w:hAnsi="宋体" w:eastAsia="宋体" w:cs="Times New Roman"/>
          <w:sz w:val="24"/>
          <w:szCs w:val="24"/>
        </w:rPr>
        <w:t>国家或省级、行业建设主管部门颁发的计价办法；</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(3)</w:t>
      </w:r>
      <w:r>
        <w:rPr>
          <w:rFonts w:hint="eastAsia" w:ascii="宋体" w:hAnsi="宋体" w:eastAsia="宋体" w:cs="Times New Roman"/>
          <w:sz w:val="24"/>
          <w:szCs w:val="24"/>
        </w:rPr>
        <w:t>企业定额，国家或省级、行业建设主管部门颁发的计价定额和计价办法；</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(4)</w:t>
      </w:r>
      <w:r>
        <w:rPr>
          <w:rFonts w:hint="eastAsia" w:ascii="宋体" w:hAnsi="宋体" w:eastAsia="宋体" w:cs="Times New Roman"/>
          <w:sz w:val="24"/>
          <w:szCs w:val="24"/>
        </w:rPr>
        <w:t>文件、工程量清单及其澄清、补充和修改文件；</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(5)</w:t>
      </w:r>
      <w:r>
        <w:rPr>
          <w:rFonts w:hint="eastAsia" w:ascii="宋体" w:hAnsi="宋体" w:eastAsia="宋体" w:cs="Times New Roman"/>
          <w:sz w:val="24"/>
          <w:szCs w:val="24"/>
        </w:rPr>
        <w:t>建设工程设计文件及相关资料；</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(6)</w:t>
      </w:r>
      <w:r>
        <w:rPr>
          <w:rFonts w:hint="eastAsia" w:ascii="宋体" w:hAnsi="宋体" w:eastAsia="宋体" w:cs="Times New Roman"/>
          <w:sz w:val="24"/>
          <w:szCs w:val="24"/>
        </w:rPr>
        <w:t>施工现场情况、工程特点及拟定的谈判施工组织设计或施工方案；</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(7)</w:t>
      </w:r>
      <w:r>
        <w:rPr>
          <w:rFonts w:hint="eastAsia" w:ascii="宋体" w:hAnsi="宋体" w:eastAsia="宋体" w:cs="Times New Roman"/>
          <w:sz w:val="24"/>
          <w:szCs w:val="24"/>
        </w:rPr>
        <w:t>与建设项目相关的标准、规定等技术资料；</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(8)</w:t>
      </w:r>
      <w:r>
        <w:rPr>
          <w:rFonts w:hint="eastAsia" w:ascii="宋体" w:hAnsi="宋体" w:eastAsia="宋体" w:cs="Times New Roman"/>
          <w:sz w:val="24"/>
          <w:szCs w:val="24"/>
        </w:rPr>
        <w:t>市场价格信息或工程造价管理机构发布的工程造价信息；</w:t>
      </w:r>
    </w:p>
    <w:p>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(9)</w:t>
      </w:r>
      <w:r>
        <w:rPr>
          <w:rFonts w:hint="eastAsia" w:ascii="宋体" w:hAnsi="宋体" w:eastAsia="宋体" w:cs="Times New Roman"/>
          <w:sz w:val="24"/>
          <w:szCs w:val="24"/>
        </w:rPr>
        <w:t>其他的相关资料。</w:t>
      </w:r>
    </w:p>
    <w:p>
      <w:pPr>
        <w:autoSpaceDE w:val="0"/>
        <w:autoSpaceDN w:val="0"/>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10.2本次采购项目工程量清单采取用综合单价计价，综合单价应包括完成一个规定清单项目所需的人工费、材料费、施工机具使用费、费用、增值税和招标文件、合同约定范围内的风险费用。费用的内容包括总价措施项目费、新冠肺炎防疫措施费、企业管理费、利润、规费。</w:t>
      </w:r>
    </w:p>
    <w:p>
      <w:pPr>
        <w:autoSpaceDE w:val="0"/>
        <w:autoSpaceDN w:val="0"/>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对于本文件中未列明，而供应商认为必需的费用也需列入总报价。在合同实施时，采购人将不予支付没有列入的项目费用，并认为此项目的费用已包括在总报价中。项目执行期间，不予调整（除不可抗力和采购人原因外），不因国家收费标准调整、市场行情变化而调整。</w:t>
      </w:r>
    </w:p>
    <w:p>
      <w:pPr>
        <w:autoSpaceDE w:val="0"/>
        <w:autoSpaceDN w:val="0"/>
        <w:spacing w:afterLines="50"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10.3供应商要详细填写“报价一览表”中的内容。</w:t>
      </w:r>
    </w:p>
    <w:p>
      <w:pPr>
        <w:autoSpaceDE w:val="0"/>
        <w:autoSpaceDN w:val="0"/>
        <w:spacing w:afterLines="50"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10.4供应商合同单价同最终总价同比例下浮。</w:t>
      </w:r>
    </w:p>
    <w:p>
      <w:pPr>
        <w:keepNext/>
        <w:keepLines/>
        <w:spacing w:afterLines="50" w:line="360" w:lineRule="auto"/>
        <w:jc w:val="center"/>
        <w:outlineLvl w:val="1"/>
        <w:rPr>
          <w:rFonts w:ascii="宋体" w:hAnsi="宋体" w:eastAsia="宋体" w:cs="Times New Roman"/>
          <w:bCs/>
          <w:color w:val="000000"/>
          <w:kern w:val="0"/>
          <w:sz w:val="28"/>
          <w:szCs w:val="28"/>
        </w:rPr>
      </w:pPr>
      <w:bookmarkStart w:id="68" w:name="_Toc20017"/>
      <w:r>
        <w:rPr>
          <w:rFonts w:hint="eastAsia" w:ascii="宋体" w:hAnsi="宋体" w:eastAsia="宋体" w:cs="Times New Roman"/>
          <w:bCs/>
          <w:color w:val="000000"/>
          <w:kern w:val="0"/>
          <w:sz w:val="28"/>
          <w:szCs w:val="28"/>
        </w:rPr>
        <w:t>四、竞争性谈判响应文件的份数、封装和递交</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11.谈判响应文件的份数</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11.1谈判供应商应编制竞争性谈判响应文件三份（正本一份、副本两份），谈判时还需提交响应文件光盘或U盘两份。若未按规定的方式编制和份数提交谈判响应文件的，采购代理机构不予受理。</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12.谈判响应文件的密封和标记</w:t>
      </w:r>
    </w:p>
    <w:p>
      <w:pPr>
        <w:spacing w:line="360" w:lineRule="auto"/>
        <w:ind w:firstLine="480" w:firstLineChars="200"/>
        <w:jc w:val="left"/>
        <w:rPr>
          <w:rFonts w:ascii="宋体" w:hAnsi="宋体" w:eastAsia="宋体" w:cs="仿宋"/>
          <w:color w:val="000000"/>
          <w:sz w:val="24"/>
          <w:szCs w:val="24"/>
        </w:rPr>
      </w:pPr>
      <w:r>
        <w:rPr>
          <w:rFonts w:hint="eastAsia" w:ascii="宋体" w:hAnsi="宋体" w:eastAsia="宋体" w:cs="Times New Roman"/>
          <w:color w:val="000000"/>
          <w:sz w:val="24"/>
          <w:szCs w:val="24"/>
        </w:rPr>
        <w:t>12.1</w:t>
      </w:r>
      <w:r>
        <w:rPr>
          <w:rFonts w:hint="eastAsia" w:ascii="宋体" w:hAnsi="宋体" w:eastAsia="宋体" w:cs="仿宋"/>
          <w:color w:val="000000"/>
          <w:sz w:val="24"/>
          <w:szCs w:val="24"/>
        </w:rPr>
        <w:t>密封：响应文件采用胶装装成一本（不可活页装订），响应文件密封袋的封口处应加盖供应商公章。</w:t>
      </w:r>
    </w:p>
    <w:p>
      <w:pPr>
        <w:spacing w:line="360" w:lineRule="auto"/>
        <w:ind w:firstLine="480" w:firstLineChars="200"/>
        <w:jc w:val="left"/>
        <w:rPr>
          <w:rFonts w:ascii="宋体" w:hAnsi="宋体" w:eastAsia="宋体" w:cs="宋体"/>
          <w:color w:val="000000"/>
          <w:sz w:val="24"/>
          <w:szCs w:val="24"/>
        </w:rPr>
      </w:pPr>
      <w:r>
        <w:rPr>
          <w:rFonts w:hint="eastAsia" w:ascii="宋体" w:hAnsi="宋体" w:eastAsia="宋体" w:cs="Times New Roman"/>
          <w:color w:val="000000"/>
          <w:sz w:val="24"/>
          <w:szCs w:val="24"/>
        </w:rPr>
        <w:t>12.2</w:t>
      </w:r>
      <w:r>
        <w:rPr>
          <w:rFonts w:hint="eastAsia" w:ascii="宋体" w:hAnsi="宋体" w:eastAsia="宋体" w:cs="仿宋"/>
          <w:color w:val="000000"/>
          <w:sz w:val="24"/>
          <w:szCs w:val="24"/>
        </w:rPr>
        <w:t>标记：封袋上都要写明采购人名称、项目名称、项目编号、供应商名称，并注明竞争性谈判文件中规定的截止时间前不得</w:t>
      </w:r>
      <w:r>
        <w:rPr>
          <w:rFonts w:hint="eastAsia" w:ascii="宋体" w:hAnsi="宋体" w:eastAsia="宋体" w:cs="宋体"/>
          <w:color w:val="000000"/>
          <w:sz w:val="24"/>
          <w:szCs w:val="24"/>
        </w:rPr>
        <w:t>启封</w:t>
      </w:r>
      <w:r>
        <w:rPr>
          <w:rFonts w:hint="eastAsia" w:ascii="宋体" w:hAnsi="宋体" w:eastAsia="宋体" w:cs="仿宋"/>
          <w:color w:val="000000"/>
          <w:sz w:val="24"/>
          <w:szCs w:val="24"/>
        </w:rPr>
        <w:t>，</w:t>
      </w:r>
      <w:r>
        <w:rPr>
          <w:rFonts w:hint="eastAsia" w:ascii="宋体" w:hAnsi="宋体" w:eastAsia="宋体" w:cs="宋体"/>
          <w:color w:val="000000"/>
          <w:sz w:val="24"/>
          <w:szCs w:val="24"/>
        </w:rPr>
        <w:t>封口处加盖供应商印章。如果未按要求密封和标记，采购代理机构对误投或提前启封概不负责。</w:t>
      </w:r>
    </w:p>
    <w:p>
      <w:pPr>
        <w:autoSpaceDE w:val="0"/>
        <w:autoSpaceDN w:val="0"/>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12.3响应文件光盘须用密封，并在信封上注明采购人名称、项目名称、项目编号、供应商名称和有“在竞争性谈判文件中规定的响应截止日期和时间之前不得启封”的字样，封口处加盖供应商印章。如果未按要求密封和标记，对误投或提前启封的采购代理机构不予受理。</w:t>
      </w:r>
    </w:p>
    <w:p>
      <w:pPr>
        <w:spacing w:line="360" w:lineRule="auto"/>
        <w:ind w:firstLine="480" w:firstLineChars="200"/>
        <w:jc w:val="left"/>
        <w:rPr>
          <w:rFonts w:ascii="宋体" w:hAnsi="宋体" w:eastAsia="宋体" w:cs="Times New Roman"/>
          <w:color w:val="000000"/>
          <w:sz w:val="24"/>
          <w:szCs w:val="24"/>
        </w:rPr>
      </w:pPr>
      <w:bookmarkStart w:id="69" w:name="_Toc450677271"/>
      <w:bookmarkStart w:id="70" w:name="_Toc462488082"/>
      <w:bookmarkStart w:id="71" w:name="_Toc293740095"/>
      <w:bookmarkStart w:id="72" w:name="_Toc456292140"/>
      <w:bookmarkStart w:id="73" w:name="_Toc456292094"/>
      <w:bookmarkStart w:id="74" w:name="_Toc456292216"/>
      <w:bookmarkStart w:id="75" w:name="_Toc456291980"/>
      <w:bookmarkStart w:id="76" w:name="_Toc456292029"/>
      <w:bookmarkStart w:id="77" w:name="_Toc293740139"/>
      <w:r>
        <w:rPr>
          <w:rFonts w:hint="eastAsia" w:ascii="宋体" w:hAnsi="宋体" w:eastAsia="宋体" w:cs="Times New Roman"/>
          <w:color w:val="000000"/>
          <w:sz w:val="24"/>
          <w:szCs w:val="24"/>
        </w:rPr>
        <w:t>13.响应文件的递交</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13.1供应商应在响应文件规定的截止时间前将纸质响应文件及文件光盘递交到指定位置。未在竞争性谈判文件截止时间前递交的响应文件视为逾期送达。逾期送达的，或者未送达指定地点，以及未按指定方式送达的纸质响应文件及响应文件光盘，招标采购单位不予受理。</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14.迟交的响应文件</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14.1采购代理机构将拒绝接收在规定的递交响应文件截止时间之后送达的任何响应文件。</w:t>
      </w:r>
    </w:p>
    <w:p>
      <w:pPr>
        <w:keepNext/>
        <w:keepLines/>
        <w:spacing w:before="120" w:after="120" w:line="360" w:lineRule="auto"/>
        <w:ind w:firstLine="560" w:firstLineChars="200"/>
        <w:jc w:val="center"/>
        <w:outlineLvl w:val="1"/>
        <w:rPr>
          <w:rFonts w:ascii="宋体" w:hAnsi="宋体" w:eastAsia="宋体" w:cs="Times New Roman"/>
          <w:bCs/>
          <w:color w:val="000000"/>
          <w:kern w:val="0"/>
          <w:sz w:val="28"/>
          <w:szCs w:val="28"/>
        </w:rPr>
      </w:pPr>
      <w:bookmarkStart w:id="78" w:name="_Toc487554922"/>
      <w:bookmarkStart w:id="79" w:name="_Toc505265000"/>
      <w:bookmarkStart w:id="80" w:name="_Toc519082752"/>
      <w:bookmarkStart w:id="81" w:name="_Toc505265123"/>
      <w:bookmarkStart w:id="82" w:name="_Toc518660982"/>
      <w:bookmarkStart w:id="83" w:name="_Toc29985"/>
      <w:bookmarkStart w:id="84" w:name="_Toc530819750"/>
      <w:r>
        <w:rPr>
          <w:rFonts w:hint="eastAsia" w:ascii="宋体" w:hAnsi="宋体" w:eastAsia="宋体" w:cs="Times New Roman"/>
          <w:bCs/>
          <w:color w:val="000000"/>
          <w:kern w:val="0"/>
          <w:sz w:val="28"/>
          <w:szCs w:val="28"/>
        </w:rPr>
        <w:t>五、谈判的步骤</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pPr>
        <w:spacing w:line="360" w:lineRule="auto"/>
        <w:ind w:firstLine="480" w:firstLineChars="200"/>
        <w:jc w:val="left"/>
        <w:rPr>
          <w:rFonts w:ascii="宋体" w:hAnsi="宋体" w:eastAsia="宋体" w:cs="Times New Roman"/>
          <w:color w:val="000000"/>
          <w:sz w:val="24"/>
          <w:szCs w:val="24"/>
        </w:rPr>
      </w:pPr>
      <w:bookmarkStart w:id="85" w:name="_Toc518660983"/>
      <w:bookmarkStart w:id="86" w:name="_Toc487554923"/>
      <w:bookmarkStart w:id="87" w:name="_Toc505265124"/>
      <w:bookmarkStart w:id="88" w:name="_Toc505265001"/>
      <w:r>
        <w:rPr>
          <w:rFonts w:hint="eastAsia" w:ascii="宋体" w:hAnsi="宋体" w:eastAsia="宋体" w:cs="Times New Roman"/>
          <w:color w:val="000000"/>
          <w:sz w:val="24"/>
          <w:szCs w:val="24"/>
        </w:rPr>
        <w:t>15.成立谈判小组</w:t>
      </w:r>
      <w:bookmarkEnd w:id="85"/>
      <w:bookmarkEnd w:id="86"/>
      <w:bookmarkEnd w:id="87"/>
      <w:bookmarkEnd w:id="88"/>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15.1谈判小组由采购人依法组建共3人以上的单数组成，其中专家的人数不少于谈判小组成员总数的三分之二。</w:t>
      </w:r>
    </w:p>
    <w:p>
      <w:pPr>
        <w:spacing w:line="400" w:lineRule="exact"/>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16.1谈判小组根据谈判原则及标准对谈判供应商递交的竞争性谈判响应文件进行资格和符合性审查，以确定其谈判供应商是否具备参加竞争性谈判的</w:t>
      </w:r>
      <w:r>
        <w:rPr>
          <w:rFonts w:hint="eastAsia" w:ascii="宋体" w:hAnsi="宋体" w:eastAsia="宋体" w:cs="Times New Roman"/>
          <w:bCs/>
          <w:color w:val="000000"/>
          <w:kern w:val="0"/>
          <w:sz w:val="24"/>
          <w:szCs w:val="24"/>
        </w:rPr>
        <w:t>资格性检查和符合性检查内容及标准</w:t>
      </w:r>
      <w:r>
        <w:rPr>
          <w:rFonts w:hint="eastAsia" w:ascii="宋体" w:hAnsi="宋体" w:eastAsia="宋体" w:cs="Times New Roman"/>
          <w:color w:val="000000"/>
          <w:sz w:val="24"/>
          <w:szCs w:val="24"/>
        </w:rPr>
        <w:t>。</w:t>
      </w:r>
    </w:p>
    <w:tbl>
      <w:tblPr>
        <w:tblStyle w:val="38"/>
        <w:tblW w:w="9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62" w:type="dxa"/>
          </w:tcPr>
          <w:p>
            <w:pPr>
              <w:spacing w:line="400" w:lineRule="exact"/>
              <w:jc w:val="center"/>
              <w:rPr>
                <w:rFonts w:ascii="宋体" w:hAnsi="宋体" w:eastAsia="宋体" w:cs="Times New Roman"/>
                <w:color w:val="000000"/>
                <w:sz w:val="24"/>
                <w:szCs w:val="24"/>
              </w:rPr>
            </w:pPr>
            <w:r>
              <w:rPr>
                <w:rFonts w:hint="eastAsia" w:ascii="宋体" w:hAnsi="宋体" w:eastAsia="宋体" w:cs="Times New Roman"/>
                <w:color w:val="000000"/>
                <w:sz w:val="24"/>
                <w:szCs w:val="24"/>
              </w:rPr>
              <w:t>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62" w:type="dxa"/>
          </w:tcPr>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1、</w:t>
            </w:r>
            <w:r>
              <w:rPr>
                <w:rFonts w:hint="eastAsia" w:asciiTheme="minorEastAsia" w:hAnsiTheme="minorEastAsia" w:cstheme="minorEastAsia"/>
                <w:color w:val="000000"/>
                <w:kern w:val="0"/>
                <w:sz w:val="24"/>
                <w:szCs w:val="24"/>
              </w:rPr>
              <w:t>供应商</w:t>
            </w:r>
            <w:r>
              <w:rPr>
                <w:rFonts w:hint="eastAsia" w:asciiTheme="minorEastAsia" w:hAnsiTheme="minorEastAsia" w:cstheme="minorEastAsia"/>
                <w:color w:val="000000" w:themeColor="text1"/>
                <w:kern w:val="0"/>
                <w:sz w:val="24"/>
                <w:szCs w:val="24"/>
              </w:rPr>
              <w:t>具备建设行政主管部门颁发的电子与智能化工程专业承包贰级及以上资质或中国安全防范技术工程行业协会颁发的安全技术防范系统设计、施工、维护贰级及以上资质；（提供资质证书复印件加盖单位公章）</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 xml:space="preserve">2、 </w:t>
            </w:r>
            <w:r>
              <w:rPr>
                <w:rFonts w:hint="eastAsia" w:asciiTheme="minorEastAsia" w:hAnsiTheme="minorEastAsia" w:cstheme="minorEastAsia"/>
                <w:color w:val="000000"/>
                <w:kern w:val="0"/>
                <w:sz w:val="24"/>
                <w:szCs w:val="24"/>
              </w:rPr>
              <w:t>供应商</w:t>
            </w:r>
            <w:r>
              <w:rPr>
                <w:rFonts w:hint="eastAsia" w:asciiTheme="minorEastAsia" w:hAnsiTheme="minorEastAsia" w:cstheme="minorEastAsia"/>
                <w:color w:val="000000" w:themeColor="text1"/>
                <w:kern w:val="0"/>
                <w:sz w:val="24"/>
                <w:szCs w:val="24"/>
              </w:rPr>
              <w:t>具有有效的法人营业执照，投标人不得以分公司名义进行投标，响应文件的单位盖章必须使用其法人公章，分公司盖章无效；（提供营业执照复印件加盖单位公章）</w:t>
            </w:r>
          </w:p>
          <w:p>
            <w:pPr>
              <w:widowControl/>
              <w:spacing w:line="540" w:lineRule="exact"/>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3、</w:t>
            </w:r>
            <w:r>
              <w:rPr>
                <w:rFonts w:hint="eastAsia" w:ascii="宋体" w:hAnsi="宋体" w:eastAsia="宋体" w:cs="Times New Roman"/>
                <w:color w:val="000000"/>
                <w:sz w:val="24"/>
                <w:szCs w:val="24"/>
              </w:rPr>
              <w:t>通过“信用中国”网站（www.creditchina.gov.cn）、中国政府采购网（www.ccgp.gov.cn）等渠道查询的主体信用记录，供应商未被列入信用记录失信被执行人、重大税收违法案件当事人名单、政府采购严重违法失信行为记录名单，没有重大违法记录。</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4、与采购人存在利害关系可能影响采购公正性的法人、其他组织或者个人，不得参加谈判；</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5、单位负责人为同一人或者存在控股、管理关系的不同单位，不得同时参加同一标包谈判或者未划分标段的同一采购项目谈判；</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6、本项目不接受联合体参与谈判，供应商必须以独立供应商身份参与本次谈判。</w:t>
            </w:r>
          </w:p>
          <w:p>
            <w:pPr>
              <w:widowControl/>
              <w:spacing w:line="360" w:lineRule="auto"/>
              <w:ind w:firstLine="480" w:firstLineChars="200"/>
              <w:jc w:val="left"/>
              <w:rPr>
                <w:rFonts w:ascii="宋体" w:hAnsi="宋体" w:eastAsia="宋体" w:cs="Times New Roman"/>
                <w:color w:val="000000"/>
                <w:sz w:val="24"/>
                <w:szCs w:val="24"/>
              </w:rPr>
            </w:pPr>
            <w:r>
              <w:rPr>
                <w:rFonts w:hint="eastAsia" w:asciiTheme="minorEastAsia" w:hAnsiTheme="minorEastAsia" w:cstheme="minorEastAsia"/>
                <w:color w:val="000000" w:themeColor="text1"/>
                <w:kern w:val="0"/>
                <w:sz w:val="24"/>
                <w:szCs w:val="24"/>
              </w:rPr>
              <w:t>只有符合以上所有标准的供应商才能通过资格审查。</w:t>
            </w:r>
          </w:p>
        </w:tc>
      </w:tr>
    </w:tbl>
    <w:p>
      <w:pPr>
        <w:spacing w:line="400" w:lineRule="exact"/>
        <w:ind w:firstLine="480" w:firstLineChars="200"/>
        <w:jc w:val="left"/>
        <w:rPr>
          <w:rFonts w:ascii="宋体" w:hAnsi="宋体" w:eastAsia="宋体" w:cs="Times New Roman"/>
          <w:color w:val="000000"/>
          <w:sz w:val="24"/>
          <w:szCs w:val="24"/>
        </w:rPr>
      </w:pPr>
    </w:p>
    <w:tbl>
      <w:tblPr>
        <w:tblStyle w:val="38"/>
        <w:tblW w:w="9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662" w:type="dxa"/>
          </w:tcPr>
          <w:p>
            <w:pPr>
              <w:spacing w:line="360" w:lineRule="auto"/>
              <w:jc w:val="center"/>
              <w:rPr>
                <w:rFonts w:ascii="宋体" w:hAnsi="宋体" w:eastAsia="宋体" w:cs="Times New Roman"/>
                <w:color w:val="000000"/>
                <w:sz w:val="24"/>
                <w:szCs w:val="24"/>
              </w:rPr>
            </w:pPr>
            <w:r>
              <w:rPr>
                <w:rFonts w:hint="eastAsia" w:ascii="宋体" w:hAnsi="宋体" w:eastAsia="宋体" w:cs="Times New Roman"/>
                <w:color w:val="000000"/>
                <w:sz w:val="24"/>
                <w:szCs w:val="24"/>
              </w:rPr>
              <w:t>符合性审查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9662" w:type="dxa"/>
          </w:tcPr>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1、谈判供应商名称是与营业执照一致；</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2、响应文件按谈判文件要求在规定区域加盖单位公章和法定代表人签章；</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3、只有一个谈判方案；</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4、只有一个有效报价；</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5、谈判有效期符合谈判文件第二章第10条规定；</w:t>
            </w:r>
          </w:p>
          <w:p>
            <w:pPr>
              <w:widowControl/>
              <w:spacing w:line="360" w:lineRule="auto"/>
              <w:ind w:firstLine="480" w:firstLineChars="200"/>
              <w:jc w:val="left"/>
              <w:rPr>
                <w:rFonts w:asciiTheme="minorEastAsia" w:hAnsiTheme="minorEastAsia" w:cstheme="minorEastAsia"/>
                <w:color w:val="000000" w:themeColor="text1"/>
                <w:kern w:val="0"/>
                <w:sz w:val="24"/>
                <w:szCs w:val="24"/>
              </w:rPr>
            </w:pPr>
            <w:r>
              <w:rPr>
                <w:rFonts w:hint="eastAsia" w:asciiTheme="minorEastAsia" w:hAnsiTheme="minorEastAsia" w:cstheme="minorEastAsia"/>
                <w:color w:val="000000" w:themeColor="text1"/>
                <w:kern w:val="0"/>
                <w:sz w:val="24"/>
                <w:szCs w:val="24"/>
              </w:rPr>
              <w:t>6、质量、工期、安全符合谈判文件要求；</w:t>
            </w:r>
          </w:p>
          <w:p>
            <w:pPr>
              <w:widowControl/>
              <w:spacing w:line="360" w:lineRule="auto"/>
              <w:ind w:firstLine="480" w:firstLineChars="200"/>
              <w:jc w:val="left"/>
              <w:rPr>
                <w:rFonts w:ascii="宋体" w:hAnsi="宋体" w:eastAsia="宋体" w:cs="宋体"/>
                <w:szCs w:val="21"/>
              </w:rPr>
            </w:pPr>
            <w:r>
              <w:rPr>
                <w:rFonts w:hint="eastAsia" w:asciiTheme="minorEastAsia" w:hAnsiTheme="minorEastAsia" w:cstheme="minorEastAsia"/>
                <w:color w:val="000000" w:themeColor="text1"/>
                <w:kern w:val="0"/>
                <w:sz w:val="24"/>
                <w:szCs w:val="24"/>
              </w:rPr>
              <w:t>7、符合法律法规和采购文件规定的其它实质性条款。</w:t>
            </w:r>
          </w:p>
        </w:tc>
      </w:tr>
    </w:tbl>
    <w:p>
      <w:pPr>
        <w:spacing w:line="360" w:lineRule="auto"/>
        <w:ind w:firstLine="480" w:firstLineChars="200"/>
        <w:jc w:val="left"/>
        <w:rPr>
          <w:rFonts w:ascii="宋体" w:hAnsi="宋体" w:eastAsia="宋体" w:cs="Times New Roman"/>
          <w:color w:val="000000"/>
          <w:sz w:val="24"/>
          <w:szCs w:val="24"/>
        </w:rPr>
      </w:pPr>
    </w:p>
    <w:p>
      <w:pPr>
        <w:spacing w:line="360" w:lineRule="auto"/>
        <w:ind w:firstLine="480" w:firstLineChars="200"/>
        <w:jc w:val="left"/>
        <w:rPr>
          <w:rFonts w:ascii="宋体" w:hAnsi="宋体" w:eastAsia="宋体" w:cs="Times New Roman"/>
          <w:color w:val="000000"/>
          <w:sz w:val="24"/>
          <w:szCs w:val="24"/>
        </w:rPr>
      </w:pP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16.2竞争性谈判响应文件凡具有下列情形之一者，均视为没有响应谈判文件要求的无效文件：</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1）未按照谈判文件规定要求密封、签署、盖章的；</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2</w:t>
      </w:r>
      <w:r>
        <w:rPr>
          <w:rFonts w:hint="eastAsia" w:ascii="宋体" w:hAnsi="宋体" w:eastAsia="宋体" w:cs="Times New Roman"/>
          <w:color w:val="000000"/>
          <w:sz w:val="24"/>
          <w:szCs w:val="24"/>
        </w:rPr>
        <w:t>）不具备谈判文件中规定资格要求的；</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3</w:t>
      </w:r>
      <w:r>
        <w:rPr>
          <w:rFonts w:hint="eastAsia" w:ascii="宋体" w:hAnsi="宋体" w:eastAsia="宋体" w:cs="Times New Roman"/>
          <w:color w:val="000000"/>
          <w:sz w:val="24"/>
          <w:szCs w:val="24"/>
        </w:rPr>
        <w:t>）不符合法律、法规和谈判文件中规定的其他实质性要求的。</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16.3竞争性谈判响应文件被确认为无效文件后，该谈判供应商即失去参加本次竞争性谈判的资格。</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17.谈判</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17.1谈判小组按已确定的谈判顺序，就符合采购需求、质量和服务等进行谈判，并了解其报价组成情况。谈判中，谈判的任何一方不得透露与谈判有关的其他供应商的技术资料、价格和其他信息。谈判结束后，谈判小组按照谈判文件规定的方法和标准，对响应谈判文件要求的供应商进行综合评议，并视情况决定是否进行下一轮谈判。</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17.2谈判过程中,若需修正谈判文件或优化采购方案, 采购代理机构将通知所有谈判供应商,并给所有谈判供应商提供较充分的修正时间。谈判供应商根据谈判文件修改，对原响应文件进行修正。修正文件与响应文件同具法律效力。文件修正后，按照规定的时间继续进行谈判。</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17.3每一次谈判结束后，参加谈判的供应商均须根据谈判小组的要求在规定的时间内进行报价，并作出有关承诺说明。</w:t>
      </w:r>
    </w:p>
    <w:p>
      <w:pPr>
        <w:spacing w:line="360" w:lineRule="auto"/>
        <w:ind w:firstLine="480" w:firstLineChars="200"/>
        <w:jc w:val="left"/>
        <w:rPr>
          <w:rFonts w:ascii="宋体" w:hAnsi="宋体"/>
          <w:sz w:val="24"/>
          <w:szCs w:val="24"/>
        </w:rPr>
      </w:pPr>
      <w:r>
        <w:rPr>
          <w:rFonts w:hint="eastAsia" w:ascii="宋体" w:hAnsi="宋体" w:eastAsia="宋体" w:cs="Times New Roman"/>
          <w:color w:val="000000"/>
          <w:sz w:val="24"/>
          <w:szCs w:val="24"/>
        </w:rPr>
        <w:t>17.4</w:t>
      </w:r>
      <w:r>
        <w:rPr>
          <w:rFonts w:hint="eastAsia" w:ascii="宋体" w:hAnsi="宋体"/>
          <w:sz w:val="24"/>
          <w:szCs w:val="24"/>
        </w:rPr>
        <w:t>谈判小组按照评审报价（专门面向中小型企业的项目按最后报价）由低到高的顺序推荐3名以上成交候选人（若在最终报价后出现谈判报价并列第一时则增加一轮谈判，若出现第二名和第三名谈判报价相同时，由采购人按供应商签到顺序确定排名），并编写评审报告。</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17.5谈判供应商的报价均超过了政府采购预算，采购人不能支付的，谈判活动终止；终止后，采购人需要采取调整采购预算或项目配置标准等，或采取其他采购方式的，应当在采购活动开始前获得政府采购监督管理部门批准。</w:t>
      </w:r>
    </w:p>
    <w:p>
      <w:pPr>
        <w:spacing w:line="360" w:lineRule="auto"/>
        <w:ind w:firstLine="567"/>
        <w:rPr>
          <w:rFonts w:ascii="宋体" w:hAnsi="宋体"/>
          <w:sz w:val="24"/>
          <w:szCs w:val="24"/>
        </w:rPr>
      </w:pPr>
      <w:r>
        <w:rPr>
          <w:rFonts w:hint="eastAsia" w:ascii="宋体" w:hAnsi="宋体"/>
          <w:sz w:val="24"/>
          <w:szCs w:val="24"/>
        </w:rPr>
        <w:t>17.6提供相同品牌产品的不同供应商参加同一合同项下采购活动的，以其中通过资格审查、符合性审查且评审报价（专门面向中小型企业的项目按最后报价）最低的参加评审；报价相同的，由采购人或者采购人委托谈判小组按照谈判文件规定的方式确定一个参加评审的供应商，谈判文件未规定的采取随机抽取方式确定，其他供应商不参与评审。</w:t>
      </w:r>
    </w:p>
    <w:p>
      <w:pPr>
        <w:spacing w:line="360" w:lineRule="auto"/>
        <w:ind w:firstLine="567"/>
        <w:rPr>
          <w:rFonts w:ascii="宋体" w:hAnsi="宋体"/>
          <w:sz w:val="24"/>
          <w:szCs w:val="24"/>
        </w:rPr>
      </w:pPr>
      <w:r>
        <w:rPr>
          <w:rFonts w:hint="eastAsia" w:ascii="宋体" w:hAnsi="宋体"/>
          <w:sz w:val="24"/>
          <w:szCs w:val="24"/>
        </w:rPr>
        <w:t>17.7非单一产品采购项目，采购人应当根据采购项目技术构成、产品价格比重等合理确定核心产品，并在谈判文件中载明。多家供应商提供的核心产品品牌相同的，按前款规定处理。</w:t>
      </w:r>
    </w:p>
    <w:p>
      <w:pPr>
        <w:spacing w:afterLines="50" w:line="360" w:lineRule="auto"/>
        <w:jc w:val="center"/>
        <w:rPr>
          <w:rFonts w:ascii="宋体" w:hAnsi="宋体" w:eastAsia="宋体" w:cs="Times New Roman"/>
          <w:b/>
          <w:sz w:val="28"/>
          <w:szCs w:val="28"/>
        </w:rPr>
      </w:pPr>
      <w:bookmarkStart w:id="89" w:name="_Toc293740096"/>
      <w:bookmarkStart w:id="90" w:name="_Toc293740140"/>
      <w:bookmarkStart w:id="91" w:name="_Toc518660984"/>
      <w:bookmarkStart w:id="92" w:name="_Toc456292030"/>
      <w:bookmarkStart w:id="93" w:name="_Toc456292095"/>
      <w:bookmarkStart w:id="94" w:name="_Toc456291981"/>
      <w:bookmarkStart w:id="95" w:name="_Toc505265002"/>
      <w:bookmarkStart w:id="96" w:name="_Toc456292141"/>
      <w:bookmarkStart w:id="97" w:name="_Toc456292217"/>
      <w:bookmarkStart w:id="98" w:name="_Toc505265125"/>
      <w:bookmarkStart w:id="99" w:name="_Toc519082753"/>
      <w:bookmarkStart w:id="100" w:name="_Toc487554924"/>
      <w:bookmarkStart w:id="101" w:name="_Toc462488083"/>
      <w:bookmarkStart w:id="102" w:name="_Toc450677272"/>
      <w:r>
        <w:rPr>
          <w:rFonts w:hint="eastAsia" w:ascii="宋体" w:hAnsi="宋体" w:eastAsia="宋体" w:cs="Times New Roman"/>
          <w:b/>
          <w:sz w:val="28"/>
          <w:szCs w:val="28"/>
        </w:rPr>
        <w:t>六、 推荐成交候选供应商</w:t>
      </w:r>
    </w:p>
    <w:p>
      <w:pPr>
        <w:spacing w:line="360" w:lineRule="auto"/>
        <w:ind w:firstLine="567"/>
        <w:rPr>
          <w:rFonts w:ascii="宋体" w:hAnsi="宋体" w:eastAsia="宋体" w:cs="Times New Roman"/>
          <w:sz w:val="24"/>
          <w:szCs w:val="24"/>
        </w:rPr>
      </w:pPr>
      <w:r>
        <w:rPr>
          <w:rFonts w:hint="eastAsia" w:ascii="宋体" w:hAnsi="宋体" w:eastAsia="宋体" w:cs="Times New Roman"/>
          <w:sz w:val="24"/>
          <w:szCs w:val="24"/>
        </w:rPr>
        <w:t>谈判小组应当从质量和服务均能满足采购文件实质性响应要求的供应商中，按照评审报价由低到高的顺序提出3名以上成交候选人（评审报价相同的并列），并编写评审报告。</w:t>
      </w:r>
    </w:p>
    <w:p>
      <w:pPr>
        <w:keepNext/>
        <w:keepLines/>
        <w:spacing w:before="120" w:after="120" w:line="360" w:lineRule="auto"/>
        <w:jc w:val="center"/>
        <w:outlineLvl w:val="1"/>
        <w:rPr>
          <w:rFonts w:ascii="宋体" w:hAnsi="宋体" w:eastAsia="宋体" w:cs="Times New Roman"/>
          <w:bCs/>
          <w:color w:val="000000"/>
          <w:kern w:val="0"/>
          <w:sz w:val="28"/>
          <w:szCs w:val="28"/>
        </w:rPr>
      </w:pPr>
      <w:bookmarkStart w:id="103" w:name="_Toc21352"/>
      <w:bookmarkStart w:id="104" w:name="_Toc530819751"/>
      <w:r>
        <w:rPr>
          <w:rFonts w:hint="eastAsia" w:ascii="宋体" w:hAnsi="宋体" w:eastAsia="宋体" w:cs="Times New Roman"/>
          <w:bCs/>
          <w:color w:val="000000"/>
          <w:kern w:val="0"/>
          <w:sz w:val="28"/>
          <w:szCs w:val="28"/>
        </w:rPr>
        <w:t>七、确定成交供应商办法</w:t>
      </w:r>
      <w:bookmarkEnd w:id="89"/>
      <w:bookmarkEnd w:id="90"/>
      <w:r>
        <w:rPr>
          <w:rFonts w:hint="eastAsia" w:ascii="宋体" w:hAnsi="宋体" w:eastAsia="宋体" w:cs="Times New Roman"/>
          <w:bCs/>
          <w:color w:val="000000"/>
          <w:kern w:val="0"/>
          <w:sz w:val="28"/>
          <w:szCs w:val="28"/>
        </w:rPr>
        <w:t>和原则</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widowControl/>
        <w:tabs>
          <w:tab w:val="left" w:pos="540"/>
        </w:tabs>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18.确定成交供应商</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18.1谈判小组根据符合采购需求、质量和服务相等且报价最低的原则推荐成交候选人。</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18.2最低报价不是成交的唯一标准。但是，在符合采购需求、质量和工期相等的情况下，报价是确定成交的关键因素。</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18.3谈判小组按照最后报价由低到高的顺序向采购人推荐三名成交候选人。 </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18.4采购人收到谈判小组推荐的成交候选供应商名单后3个工作日内，根据符合采购需求、质量和服务相等且报价最低的原则确定成交供应商，并出具书面确认函。</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18.5成交供应商确定后，采购代理机构将在</w:t>
      </w:r>
      <w:r>
        <w:rPr>
          <w:rFonts w:hint="eastAsia" w:asciiTheme="minorEastAsia" w:hAnsiTheme="minorEastAsia" w:cstheme="minorEastAsia"/>
          <w:color w:val="000000"/>
          <w:sz w:val="24"/>
          <w:szCs w:val="24"/>
        </w:rPr>
        <w:t>宜昌交通旅游产业发展集团有限公司官网、湖北宜昌交运集团股份有限公司官网、中国采购与招标网上</w:t>
      </w:r>
      <w:r>
        <w:rPr>
          <w:rFonts w:hint="eastAsia" w:ascii="宋体" w:hAnsi="宋体" w:eastAsia="宋体" w:cs="Times New Roman"/>
          <w:color w:val="000000"/>
          <w:sz w:val="24"/>
          <w:szCs w:val="24"/>
        </w:rPr>
        <w:t>发布成交公告，同时</w:t>
      </w:r>
      <w:r>
        <w:rPr>
          <w:rFonts w:hint="eastAsia" w:ascii="宋体" w:hAnsi="宋体" w:eastAsia="宋体" w:cs="Times New Roman"/>
          <w:color w:val="000000"/>
          <w:kern w:val="0"/>
          <w:sz w:val="24"/>
          <w:szCs w:val="24"/>
        </w:rPr>
        <w:t>向成交供应商发出《成交通知书》。《成交通知书》是合同的组成部分</w:t>
      </w:r>
      <w:r>
        <w:rPr>
          <w:rFonts w:hint="eastAsia" w:ascii="宋体" w:hAnsi="宋体" w:eastAsia="宋体" w:cs="Times New Roman"/>
          <w:color w:val="000000"/>
          <w:sz w:val="24"/>
          <w:szCs w:val="24"/>
        </w:rPr>
        <w:t>,对成交供应商和采购人具有同等法律效力</w:t>
      </w:r>
      <w:r>
        <w:rPr>
          <w:rFonts w:hint="eastAsia" w:ascii="宋体" w:hAnsi="宋体" w:eastAsia="宋体" w:cs="Times New Roman"/>
          <w:color w:val="000000"/>
          <w:kern w:val="0"/>
          <w:sz w:val="24"/>
          <w:szCs w:val="24"/>
        </w:rPr>
        <w:t>。</w:t>
      </w:r>
    </w:p>
    <w:p>
      <w:pPr>
        <w:keepNext/>
        <w:keepLines/>
        <w:spacing w:before="120" w:after="120" w:line="360" w:lineRule="auto"/>
        <w:jc w:val="center"/>
        <w:outlineLvl w:val="1"/>
        <w:rPr>
          <w:rFonts w:ascii="宋体" w:hAnsi="宋体" w:eastAsia="宋体" w:cs="Times New Roman"/>
          <w:bCs/>
          <w:color w:val="000000"/>
          <w:kern w:val="0"/>
          <w:sz w:val="28"/>
          <w:szCs w:val="28"/>
        </w:rPr>
      </w:pPr>
      <w:bookmarkStart w:id="105" w:name="_Toc530819752"/>
      <w:bookmarkStart w:id="106" w:name="_Toc519082754"/>
      <w:bookmarkStart w:id="107" w:name="_Toc293740141"/>
      <w:bookmarkStart w:id="108" w:name="_Toc456292218"/>
      <w:bookmarkStart w:id="109" w:name="_Toc456292142"/>
      <w:bookmarkStart w:id="110" w:name="_Toc505265003"/>
      <w:bookmarkStart w:id="111" w:name="_Toc505265126"/>
      <w:bookmarkStart w:id="112" w:name="_Toc293740097"/>
      <w:bookmarkStart w:id="113" w:name="_Toc487554925"/>
      <w:bookmarkStart w:id="114" w:name="_Toc456292096"/>
      <w:bookmarkStart w:id="115" w:name="_Toc24059"/>
      <w:bookmarkStart w:id="116" w:name="_Toc456291982"/>
      <w:bookmarkStart w:id="117" w:name="_Toc518660985"/>
      <w:bookmarkStart w:id="118" w:name="_Toc450677273"/>
      <w:bookmarkStart w:id="119" w:name="_Toc456292031"/>
      <w:bookmarkStart w:id="120" w:name="_Toc462488084"/>
      <w:r>
        <w:rPr>
          <w:rFonts w:hint="eastAsia" w:ascii="宋体" w:hAnsi="宋体" w:eastAsia="宋体" w:cs="Times New Roman"/>
          <w:bCs/>
          <w:color w:val="000000"/>
          <w:kern w:val="0"/>
          <w:sz w:val="28"/>
          <w:szCs w:val="28"/>
        </w:rPr>
        <w:t>八、签订合同</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19.1成交供应商在收到</w:t>
      </w:r>
      <w:r>
        <w:rPr>
          <w:rFonts w:hint="eastAsia" w:ascii="宋体" w:hAnsi="宋体" w:eastAsia="宋体" w:cs="Times New Roman"/>
          <w:color w:val="000000"/>
          <w:kern w:val="0"/>
          <w:sz w:val="24"/>
          <w:szCs w:val="24"/>
        </w:rPr>
        <w:t>《成交通知书》</w:t>
      </w:r>
      <w:r>
        <w:rPr>
          <w:rFonts w:hint="eastAsia" w:ascii="宋体" w:hAnsi="宋体" w:eastAsia="宋体" w:cs="Times New Roman"/>
          <w:color w:val="000000"/>
          <w:sz w:val="24"/>
          <w:szCs w:val="24"/>
        </w:rPr>
        <w:t>后，按规定与采购人签订施工合同。</w:t>
      </w:r>
    </w:p>
    <w:p>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19.2合同签订后7个工作日内，采购人应将政府采购合同副本报政府采购监管部门备案。</w:t>
      </w:r>
    </w:p>
    <w:p>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19.3成交供应商不得向他人转让成交项目，如果成交供应商向他人转让成交项目或在履行合同时发生违约行为，政府采购监管部门将视情节轻重，按《政府采购供应商诚信管理办法》的有关规定给予处罚。</w:t>
      </w:r>
    </w:p>
    <w:p>
      <w:pPr>
        <w:keepNext/>
        <w:keepLines/>
        <w:spacing w:before="120" w:after="120" w:line="360" w:lineRule="auto"/>
        <w:jc w:val="center"/>
        <w:outlineLvl w:val="1"/>
        <w:rPr>
          <w:rFonts w:ascii="宋体" w:hAnsi="宋体" w:eastAsia="宋体" w:cs="Times New Roman"/>
          <w:bCs/>
          <w:color w:val="000000"/>
          <w:kern w:val="0"/>
          <w:sz w:val="28"/>
          <w:szCs w:val="28"/>
        </w:rPr>
      </w:pPr>
      <w:bookmarkStart w:id="121" w:name="_Toc456292097"/>
      <w:bookmarkStart w:id="122" w:name="_Toc519082755"/>
      <w:bookmarkStart w:id="123" w:name="_Toc505265127"/>
      <w:bookmarkStart w:id="124" w:name="_Toc518660986"/>
      <w:bookmarkStart w:id="125" w:name="_Toc462488085"/>
      <w:bookmarkStart w:id="126" w:name="_Toc505265004"/>
      <w:bookmarkStart w:id="127" w:name="_Toc456292219"/>
      <w:bookmarkStart w:id="128" w:name="_Toc456292143"/>
      <w:bookmarkStart w:id="129" w:name="_Toc456292032"/>
      <w:bookmarkStart w:id="130" w:name="_Toc293740142"/>
      <w:bookmarkStart w:id="131" w:name="_Toc530819753"/>
      <w:bookmarkStart w:id="132" w:name="_Toc293740098"/>
      <w:bookmarkStart w:id="133" w:name="_Toc12796"/>
      <w:bookmarkStart w:id="134" w:name="_Toc456291983"/>
      <w:bookmarkStart w:id="135" w:name="_Toc450677274"/>
      <w:bookmarkStart w:id="136" w:name="_Toc487554926"/>
    </w:p>
    <w:p>
      <w:pPr>
        <w:keepNext/>
        <w:keepLines/>
        <w:spacing w:before="120" w:after="120" w:line="360" w:lineRule="auto"/>
        <w:jc w:val="center"/>
        <w:outlineLvl w:val="1"/>
        <w:rPr>
          <w:rFonts w:ascii="宋体" w:hAnsi="宋体" w:eastAsia="宋体" w:cs="Times New Roman"/>
          <w:bCs/>
          <w:color w:val="000000"/>
          <w:kern w:val="0"/>
          <w:sz w:val="28"/>
          <w:szCs w:val="28"/>
        </w:rPr>
      </w:pPr>
      <w:r>
        <w:rPr>
          <w:rFonts w:hint="eastAsia" w:ascii="宋体" w:hAnsi="宋体" w:eastAsia="宋体" w:cs="Times New Roman"/>
          <w:bCs/>
          <w:color w:val="000000"/>
          <w:kern w:val="0"/>
          <w:sz w:val="28"/>
          <w:szCs w:val="28"/>
        </w:rPr>
        <w:t>九、公告、质疑</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pPr>
        <w:spacing w:line="360" w:lineRule="auto"/>
        <w:ind w:left="479" w:leftChars="228"/>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20.1成交公告经信息发布审批后在上级单位、集团公司网站公告不低于1个工作</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20.2如果谈判供应商对此次采购活动有疑问，可依据《政府采购法》等相关规定，在规定的时间内以书面形式向采购人和采购代理机构提出质疑。质疑书应当包括下列主要内容：</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①质疑人的名称、地址、电话等；</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②质疑人法人签章和单位公章；</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③具体的质疑事项及事实依据；</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④明确的请求和必要（合法来源）的证明材料；</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⑤提起质疑的日期。</w:t>
      </w:r>
    </w:p>
    <w:p>
      <w:pPr>
        <w:autoSpaceDE w:val="0"/>
        <w:autoSpaceDN w:val="0"/>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特注：未按上述程序规定的必备内容进行质疑的，采购人和采购代理机构将不予以受理。</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20.3供应商对成交结果有异议的，可在成交公告期限届满之日起7个工作日内以书面形式向采购单位提出质疑,采购单位将自收到质疑之日起7个工作日内作出书面答复；供应商对采购单位的答复不满意或者采购单位未在规定的时间内作出答复的，可以在答复期满后15个工作日内向上级管理机构投诉。投诉处理结束前,暂停谈判活动。</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20.4在成交公告期限届满之日起7个工作日内无异议或投诉，申报《竞争性谈判结果审批表》审批。</w:t>
      </w:r>
    </w:p>
    <w:p>
      <w:pPr>
        <w:keepNext/>
        <w:keepLines/>
        <w:spacing w:before="120" w:after="120" w:line="360" w:lineRule="auto"/>
        <w:jc w:val="center"/>
        <w:outlineLvl w:val="1"/>
        <w:rPr>
          <w:rFonts w:ascii="宋体" w:hAnsi="宋体" w:eastAsia="宋体" w:cs="Times New Roman"/>
          <w:bCs/>
          <w:color w:val="000000"/>
          <w:kern w:val="0"/>
          <w:sz w:val="28"/>
          <w:szCs w:val="28"/>
        </w:rPr>
      </w:pPr>
      <w:bookmarkStart w:id="137" w:name="_Toc505265005"/>
      <w:bookmarkStart w:id="138" w:name="_Toc518660987"/>
      <w:bookmarkStart w:id="139" w:name="_Toc456292220"/>
      <w:bookmarkStart w:id="140" w:name="_Toc456292033"/>
      <w:bookmarkStart w:id="141" w:name="_Toc462488086"/>
      <w:bookmarkStart w:id="142" w:name="_Toc293740099"/>
      <w:bookmarkStart w:id="143" w:name="_Toc519082756"/>
      <w:bookmarkStart w:id="144" w:name="_Toc487554927"/>
      <w:bookmarkStart w:id="145" w:name="_Toc456292144"/>
      <w:bookmarkStart w:id="146" w:name="_Toc293740143"/>
      <w:bookmarkStart w:id="147" w:name="_Toc450677275"/>
      <w:bookmarkStart w:id="148" w:name="_Toc456291984"/>
      <w:bookmarkStart w:id="149" w:name="_Toc456292098"/>
      <w:bookmarkStart w:id="150" w:name="_Toc530819754"/>
      <w:bookmarkStart w:id="151" w:name="_Toc505265128"/>
      <w:bookmarkStart w:id="152" w:name="_Toc28418"/>
      <w:r>
        <w:rPr>
          <w:rFonts w:hint="eastAsia" w:ascii="宋体" w:hAnsi="宋体" w:eastAsia="宋体" w:cs="Times New Roman"/>
          <w:bCs/>
          <w:color w:val="000000"/>
          <w:kern w:val="0"/>
          <w:sz w:val="28"/>
          <w:szCs w:val="28"/>
        </w:rPr>
        <w:t>十、项目验收</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21.1项目实施完毕，采购人和采购代理机构组织对供应商履约的验收。</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21.2验收标准:谈判文件、谈判响应文件、政府采购合同规定的标准。</w:t>
      </w:r>
    </w:p>
    <w:p>
      <w:pPr>
        <w:spacing w:line="360" w:lineRule="auto"/>
        <w:ind w:firstLine="480" w:firstLineChars="200"/>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21.3政府采购项目验收联系电话:见供应商须知前附表。</w:t>
      </w:r>
    </w:p>
    <w:p>
      <w:pPr>
        <w:keepNext/>
        <w:keepLines/>
        <w:spacing w:before="120" w:after="120" w:line="360" w:lineRule="auto"/>
        <w:jc w:val="center"/>
        <w:outlineLvl w:val="1"/>
        <w:rPr>
          <w:rFonts w:ascii="宋体" w:hAnsi="宋体" w:eastAsia="宋体" w:cs="Times New Roman"/>
          <w:bCs/>
          <w:color w:val="000000"/>
          <w:kern w:val="0"/>
          <w:sz w:val="28"/>
          <w:szCs w:val="28"/>
        </w:rPr>
      </w:pPr>
      <w:bookmarkStart w:id="153" w:name="_Toc450677276"/>
      <w:bookmarkStart w:id="154" w:name="_Toc505265006"/>
      <w:bookmarkStart w:id="155" w:name="_Toc519082757"/>
      <w:bookmarkStart w:id="156" w:name="_Toc293740144"/>
      <w:bookmarkStart w:id="157" w:name="_Toc505265129"/>
      <w:bookmarkStart w:id="158" w:name="_Toc293740100"/>
      <w:bookmarkStart w:id="159" w:name="_Toc518660988"/>
      <w:bookmarkStart w:id="160" w:name="_Toc487554928"/>
      <w:bookmarkStart w:id="161" w:name="_Toc456292145"/>
      <w:bookmarkStart w:id="162" w:name="_Toc530819755"/>
      <w:bookmarkStart w:id="163" w:name="_Toc456292099"/>
      <w:bookmarkStart w:id="164" w:name="_Toc462488087"/>
      <w:bookmarkStart w:id="165" w:name="_Toc456292221"/>
      <w:bookmarkStart w:id="166" w:name="_Toc456292034"/>
      <w:bookmarkStart w:id="167" w:name="_Toc456291985"/>
      <w:bookmarkStart w:id="168" w:name="_Toc4160"/>
      <w:r>
        <w:rPr>
          <w:rFonts w:hint="eastAsia" w:ascii="宋体" w:hAnsi="宋体" w:eastAsia="宋体" w:cs="Times New Roman"/>
          <w:bCs/>
          <w:color w:val="000000"/>
          <w:kern w:val="0"/>
          <w:sz w:val="28"/>
          <w:szCs w:val="28"/>
        </w:rPr>
        <w:t>十一、适用法律</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22.采购当事人的一切活动均适用于《中华人民共和国政府采购法》及相关规定。</w:t>
      </w:r>
    </w:p>
    <w:p>
      <w:pPr>
        <w:spacing w:line="360" w:lineRule="auto"/>
        <w:ind w:firstLine="480" w:firstLineChars="200"/>
        <w:rPr>
          <w:rFonts w:ascii="宋体" w:hAnsi="宋体" w:eastAsia="宋体" w:cs="Times New Roman"/>
          <w:color w:val="000000"/>
          <w:sz w:val="24"/>
          <w:szCs w:val="24"/>
        </w:rPr>
      </w:pPr>
    </w:p>
    <w:p>
      <w:pPr>
        <w:spacing w:line="360" w:lineRule="auto"/>
        <w:ind w:firstLine="480" w:firstLineChars="200"/>
        <w:rPr>
          <w:rFonts w:ascii="宋体" w:hAnsi="宋体" w:eastAsia="宋体" w:cs="Times New Roman"/>
          <w:color w:val="000000"/>
          <w:sz w:val="24"/>
          <w:szCs w:val="24"/>
        </w:rPr>
      </w:pPr>
    </w:p>
    <w:p>
      <w:pPr>
        <w:pStyle w:val="5"/>
        <w:spacing w:line="360" w:lineRule="auto"/>
        <w:jc w:val="center"/>
        <w:sectPr>
          <w:pgSz w:w="11906" w:h="16838"/>
          <w:pgMar w:top="1440" w:right="1230" w:bottom="1440" w:left="1230" w:header="851" w:footer="992" w:gutter="0"/>
          <w:cols w:space="0" w:num="1"/>
          <w:titlePg/>
          <w:docGrid w:type="lines" w:linePitch="314" w:charSpace="0"/>
        </w:sectPr>
      </w:pPr>
      <w:bookmarkStart w:id="169" w:name="_Toc518049635"/>
      <w:bookmarkStart w:id="170" w:name="_Toc519082758"/>
    </w:p>
    <w:p>
      <w:pPr>
        <w:pStyle w:val="5"/>
        <w:spacing w:line="360" w:lineRule="auto"/>
        <w:jc w:val="center"/>
      </w:pPr>
      <w:bookmarkStart w:id="171" w:name="_Toc22850"/>
      <w:r>
        <w:rPr>
          <w:rFonts w:hint="eastAsia"/>
        </w:rPr>
        <w:t>第三章 项目采购需</w:t>
      </w:r>
      <w:bookmarkEnd w:id="169"/>
      <w:bookmarkEnd w:id="170"/>
      <w:r>
        <w:rPr>
          <w:rFonts w:hint="eastAsia"/>
        </w:rPr>
        <w:t>求</w:t>
      </w:r>
      <w:bookmarkEnd w:id="171"/>
    </w:p>
    <w:p>
      <w:pPr>
        <w:pStyle w:val="6"/>
        <w:jc w:val="left"/>
        <w:rPr>
          <w:rFonts w:ascii="宋体" w:hAnsi="宋体" w:eastAsia="宋体" w:cs="Times New Roman"/>
          <w:color w:val="000000"/>
          <w:sz w:val="24"/>
          <w:szCs w:val="24"/>
        </w:rPr>
      </w:pPr>
      <w:bookmarkStart w:id="172" w:name="_Toc5883"/>
      <w:bookmarkStart w:id="173" w:name="_Toc22442"/>
      <w:r>
        <w:rPr>
          <w:rFonts w:hint="eastAsia"/>
          <w:color w:val="000000"/>
          <w:sz w:val="24"/>
          <w:szCs w:val="24"/>
        </w:rPr>
        <w:t>一、</w:t>
      </w:r>
      <w:r>
        <w:rPr>
          <w:rFonts w:hint="eastAsia" w:ascii="宋体" w:hAnsi="宋体" w:eastAsia="宋体" w:cs="Times New Roman"/>
          <w:color w:val="000000"/>
          <w:sz w:val="24"/>
          <w:szCs w:val="24"/>
        </w:rPr>
        <w:t>项目概况及范围</w:t>
      </w:r>
      <w:bookmarkEnd w:id="172"/>
      <w:bookmarkEnd w:id="173"/>
    </w:p>
    <w:p>
      <w:pPr>
        <w:pStyle w:val="6"/>
        <w:spacing w:line="460" w:lineRule="exact"/>
        <w:jc w:val="left"/>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w:t>
      </w:r>
      <w:r>
        <w:rPr>
          <w:rFonts w:hint="eastAsia" w:ascii="宋体" w:hAnsi="宋体" w:cs="Times New Roman"/>
          <w:color w:val="000000"/>
          <w:sz w:val="24"/>
          <w:szCs w:val="24"/>
        </w:rPr>
        <w:t xml:space="preserve">  </w:t>
      </w:r>
      <w:bookmarkStart w:id="174" w:name="_Toc30404"/>
      <w:bookmarkStart w:id="175" w:name="_Toc21302"/>
      <w:r>
        <w:rPr>
          <w:rFonts w:hint="eastAsia" w:ascii="宋体" w:hAnsi="宋体" w:eastAsia="宋体" w:cs="Times New Roman"/>
          <w:color w:val="000000"/>
          <w:sz w:val="24"/>
          <w:szCs w:val="24"/>
        </w:rPr>
        <w:t>1、项目规模：宜昌三峡国际游轮中心码头工程位于宜昌市西陵区夜明珠片区，黄柏河左岸。建设规模：建设10个游轮泊位，设计年游客吞吐量200万人次。包括6个500客位游轮泊位、2个200客位游轮泊位、2个320客位大型豪华游轮泊位。同时，建设相应的配套辅助设施。</w:t>
      </w:r>
      <w:bookmarkEnd w:id="174"/>
      <w:bookmarkEnd w:id="175"/>
    </w:p>
    <w:p>
      <w:pPr>
        <w:spacing w:line="46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2、项目范围：设计施工图范围内的全部工作内容。包含建设宜昌三峡国际游轮中心码头工程码头过渡期供电照明监控系统：一是泊位照明系统控制系统，二是码头泊位的视频监控系统，三是综合总控室。（详见工程量清单）</w:t>
      </w:r>
    </w:p>
    <w:p>
      <w:pPr>
        <w:pStyle w:val="6"/>
        <w:jc w:val="left"/>
        <w:rPr>
          <w:rFonts w:ascii="宋体" w:hAnsi="宋体" w:eastAsia="宋体" w:cs="Times New Roman"/>
          <w:b/>
          <w:bCs/>
          <w:color w:val="000000"/>
          <w:sz w:val="24"/>
          <w:szCs w:val="24"/>
        </w:rPr>
      </w:pPr>
      <w:bookmarkStart w:id="176" w:name="_Toc4839"/>
      <w:bookmarkStart w:id="177" w:name="_Toc8960"/>
      <w:r>
        <w:rPr>
          <w:rFonts w:hint="eastAsia" w:ascii="宋体" w:hAnsi="宋体" w:eastAsia="宋体" w:cs="Times New Roman"/>
          <w:b/>
          <w:bCs/>
          <w:color w:val="000000"/>
          <w:sz w:val="24"/>
          <w:szCs w:val="24"/>
        </w:rPr>
        <w:t>二、清单另册</w:t>
      </w:r>
      <w:bookmarkEnd w:id="176"/>
      <w:bookmarkEnd w:id="177"/>
    </w:p>
    <w:p>
      <w:pPr>
        <w:pStyle w:val="6"/>
        <w:jc w:val="left"/>
        <w:rPr>
          <w:rFonts w:ascii="宋体" w:hAnsi="宋体" w:eastAsia="宋体" w:cs="Times New Roman"/>
          <w:color w:val="000000"/>
          <w:sz w:val="24"/>
          <w:szCs w:val="24"/>
        </w:rPr>
      </w:pPr>
      <w:bookmarkStart w:id="178" w:name="_Toc13964"/>
      <w:bookmarkStart w:id="179" w:name="_Toc14391"/>
      <w:r>
        <w:rPr>
          <w:rFonts w:hint="eastAsia" w:ascii="宋体" w:hAnsi="宋体" w:eastAsia="宋体" w:cs="Times New Roman"/>
          <w:color w:val="000000"/>
          <w:sz w:val="24"/>
          <w:szCs w:val="24"/>
        </w:rPr>
        <w:t>三、商务要求</w:t>
      </w:r>
      <w:bookmarkEnd w:id="178"/>
      <w:bookmarkEnd w:id="179"/>
    </w:p>
    <w:p>
      <w:pPr>
        <w:pStyle w:val="19"/>
        <w:spacing w:before="5" w:line="360" w:lineRule="auto"/>
        <w:ind w:left="542" w:right="57"/>
        <w:rPr>
          <w:rFonts w:ascii="宋体" w:hAnsi="宋体" w:eastAsia="宋体" w:cs="宋体"/>
          <w:bCs/>
          <w:color w:val="000000"/>
          <w:sz w:val="24"/>
          <w:szCs w:val="24"/>
        </w:rPr>
      </w:pPr>
      <w:bookmarkStart w:id="180" w:name="_Toc518049636"/>
      <w:bookmarkStart w:id="181" w:name="_Toc519082759"/>
      <w:r>
        <w:rPr>
          <w:rFonts w:hint="eastAsia" w:ascii="宋体" w:hAnsi="宋体" w:eastAsia="宋体" w:cs="宋体"/>
          <w:bCs/>
          <w:color w:val="000000"/>
          <w:sz w:val="24"/>
          <w:szCs w:val="24"/>
        </w:rPr>
        <w:t>1、工期</w:t>
      </w:r>
      <w:r>
        <w:rPr>
          <w:rFonts w:ascii="宋体" w:hAnsi="宋体" w:eastAsia="宋体" w:cs="宋体"/>
          <w:bCs/>
          <w:color w:val="000000"/>
          <w:sz w:val="24"/>
          <w:szCs w:val="24"/>
        </w:rPr>
        <w:t xml:space="preserve">：合同签订后 </w:t>
      </w:r>
      <w:r>
        <w:rPr>
          <w:rFonts w:hint="eastAsia" w:ascii="宋体" w:hAnsi="宋体" w:eastAsia="宋体" w:cs="宋体"/>
          <w:bCs/>
          <w:color w:val="000000"/>
          <w:sz w:val="24"/>
          <w:szCs w:val="24"/>
        </w:rPr>
        <w:t>30</w:t>
      </w:r>
      <w:r>
        <w:rPr>
          <w:rFonts w:ascii="宋体" w:hAnsi="宋体" w:eastAsia="宋体" w:cs="宋体"/>
          <w:bCs/>
          <w:color w:val="000000"/>
          <w:sz w:val="24"/>
          <w:szCs w:val="24"/>
        </w:rPr>
        <w:t xml:space="preserve"> 个工作日</w:t>
      </w:r>
      <w:r>
        <w:rPr>
          <w:rFonts w:hint="eastAsia" w:ascii="宋体" w:hAnsi="宋体" w:eastAsia="宋体" w:cs="宋体"/>
          <w:bCs/>
          <w:color w:val="000000"/>
          <w:sz w:val="24"/>
          <w:szCs w:val="24"/>
        </w:rPr>
        <w:t>内</w:t>
      </w:r>
      <w:r>
        <w:rPr>
          <w:rFonts w:ascii="宋体" w:hAnsi="宋体" w:eastAsia="宋体" w:cs="宋体"/>
          <w:bCs/>
          <w:color w:val="000000"/>
          <w:sz w:val="24"/>
          <w:szCs w:val="24"/>
        </w:rPr>
        <w:t xml:space="preserve">。 </w:t>
      </w:r>
    </w:p>
    <w:p>
      <w:pPr>
        <w:pStyle w:val="19"/>
        <w:spacing w:before="5" w:line="360" w:lineRule="auto"/>
        <w:ind w:left="542" w:right="57"/>
        <w:rPr>
          <w:rFonts w:ascii="宋体" w:hAnsi="宋体" w:eastAsia="宋体" w:cs="宋体"/>
          <w:bCs/>
          <w:color w:val="000000"/>
          <w:sz w:val="24"/>
          <w:szCs w:val="24"/>
        </w:rPr>
      </w:pPr>
      <w:r>
        <w:rPr>
          <w:rFonts w:hint="eastAsia" w:ascii="宋体" w:hAnsi="宋体" w:eastAsia="宋体" w:cs="宋体"/>
          <w:bCs/>
          <w:color w:val="000000"/>
          <w:sz w:val="24"/>
          <w:szCs w:val="24"/>
        </w:rPr>
        <w:t>2、项目</w:t>
      </w:r>
      <w:r>
        <w:rPr>
          <w:rFonts w:ascii="宋体" w:hAnsi="宋体" w:eastAsia="宋体" w:cs="宋体"/>
          <w:bCs/>
          <w:color w:val="000000"/>
          <w:sz w:val="24"/>
          <w:szCs w:val="24"/>
        </w:rPr>
        <w:t>地点：</w:t>
      </w:r>
      <w:r>
        <w:rPr>
          <w:rFonts w:ascii="宋体" w:hAnsi="宋体" w:eastAsia="宋体" w:cs="宋体"/>
          <w:sz w:val="24"/>
          <w:lang w:val="zh-CN"/>
        </w:rPr>
        <w:t>宜昌市黄柏河河口左岸夜明珠片区</w:t>
      </w:r>
      <w:r>
        <w:rPr>
          <w:rFonts w:ascii="宋体" w:hAnsi="宋体" w:eastAsia="宋体" w:cs="宋体"/>
          <w:bCs/>
          <w:color w:val="000000"/>
          <w:sz w:val="24"/>
          <w:szCs w:val="24"/>
        </w:rPr>
        <w:t xml:space="preserve">。 </w:t>
      </w:r>
    </w:p>
    <w:p>
      <w:pPr>
        <w:spacing w:line="360" w:lineRule="auto"/>
        <w:ind w:firstLine="480"/>
        <w:rPr>
          <w:rFonts w:ascii="宋体" w:hAnsi="宋体" w:eastAsia="宋体" w:cs="宋体"/>
          <w:bCs/>
          <w:color w:val="000000"/>
          <w:sz w:val="24"/>
          <w:szCs w:val="24"/>
        </w:rPr>
      </w:pPr>
      <w:r>
        <w:rPr>
          <w:rFonts w:hint="eastAsia" w:ascii="宋体" w:hAnsi="宋体" w:eastAsia="宋体" w:cs="宋体"/>
          <w:bCs/>
          <w:color w:val="000000"/>
          <w:sz w:val="24"/>
          <w:szCs w:val="24"/>
        </w:rPr>
        <w:t>3、</w:t>
      </w:r>
      <w:r>
        <w:rPr>
          <w:rFonts w:ascii="宋体" w:hAnsi="宋体" w:eastAsia="宋体" w:cs="宋体"/>
          <w:bCs/>
          <w:color w:val="000000"/>
          <w:sz w:val="24"/>
          <w:szCs w:val="24"/>
        </w:rPr>
        <w:t>付款方式：</w:t>
      </w:r>
    </w:p>
    <w:p>
      <w:pPr>
        <w:spacing w:line="360" w:lineRule="auto"/>
        <w:ind w:firstLine="480"/>
        <w:rPr>
          <w:rFonts w:ascii="宋体" w:hAnsi="宋体" w:eastAsia="宋体" w:cs="宋体"/>
          <w:bCs/>
          <w:color w:val="000000"/>
          <w:sz w:val="24"/>
          <w:szCs w:val="24"/>
        </w:rPr>
      </w:pPr>
      <w:r>
        <w:rPr>
          <w:rFonts w:hint="eastAsia" w:ascii="宋体" w:hAnsi="宋体" w:eastAsia="宋体" w:cs="宋体"/>
          <w:bCs/>
          <w:color w:val="000000"/>
          <w:sz w:val="24"/>
          <w:szCs w:val="24"/>
        </w:rPr>
        <w:t>（1）本合同签订后，以承包人进场或签发开工令时间为准一周内，甲方支付签约合同价款（扣除暂列金）的10%（含安全防护、文明施工措施费）；</w:t>
      </w:r>
    </w:p>
    <w:p>
      <w:pPr>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rPr>
        <w:t>（2）本合同工程经竣工验收合格后，支付至合同价款（扣除暂列金）的80%；</w:t>
      </w:r>
    </w:p>
    <w:p>
      <w:pPr>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rPr>
        <w:t>（3）本合同工程结算审计完成并移交工程竣工资料后，支付至审计结果的97%；</w:t>
      </w:r>
    </w:p>
    <w:p>
      <w:pPr>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rPr>
        <w:t>（4）缺陷责任期满并验收合格后支付剩余3%。</w:t>
      </w:r>
    </w:p>
    <w:bookmarkEnd w:id="180"/>
    <w:bookmarkEnd w:id="181"/>
    <w:p>
      <w:pPr>
        <w:pStyle w:val="5"/>
        <w:spacing w:line="360" w:lineRule="auto"/>
        <w:jc w:val="center"/>
      </w:pPr>
      <w:bookmarkStart w:id="182" w:name="_Toc527788450"/>
    </w:p>
    <w:p>
      <w:pPr>
        <w:pStyle w:val="5"/>
        <w:spacing w:line="360" w:lineRule="auto"/>
        <w:jc w:val="center"/>
      </w:pPr>
    </w:p>
    <w:p/>
    <w:p/>
    <w:p>
      <w:pPr>
        <w:pStyle w:val="5"/>
        <w:spacing w:line="360" w:lineRule="auto"/>
        <w:jc w:val="center"/>
      </w:pPr>
      <w:bookmarkStart w:id="183" w:name="_Toc29892"/>
    </w:p>
    <w:p>
      <w:pPr>
        <w:pStyle w:val="5"/>
        <w:spacing w:line="360" w:lineRule="auto"/>
        <w:jc w:val="center"/>
        <w:rPr>
          <w:highlight w:val="yellow"/>
        </w:rPr>
      </w:pPr>
      <w:r>
        <w:rPr>
          <w:rFonts w:hint="eastAsia"/>
        </w:rPr>
        <w:t>第四章 合同格式及合同条款</w:t>
      </w:r>
      <w:bookmarkEnd w:id="182"/>
      <w:bookmarkEnd w:id="183"/>
    </w:p>
    <w:p>
      <w:pPr>
        <w:spacing w:line="360" w:lineRule="auto"/>
        <w:ind w:firstLine="3780" w:firstLineChars="1800"/>
        <w:rPr>
          <w:rFonts w:ascii="Calibri" w:hAnsi="Calibri" w:eastAsia="宋体" w:cs="Times New Roman"/>
        </w:rPr>
      </w:pPr>
    </w:p>
    <w:p>
      <w:pPr>
        <w:adjustRightInd w:val="0"/>
        <w:snapToGrid w:val="0"/>
        <w:spacing w:line="360" w:lineRule="auto"/>
        <w:ind w:firstLine="4560" w:firstLineChars="1900"/>
        <w:jc w:val="right"/>
        <w:rPr>
          <w:rFonts w:ascii="宋体" w:hAnsi="宋体" w:cs="宋体"/>
          <w:b/>
          <w:sz w:val="32"/>
          <w:szCs w:val="32"/>
        </w:rPr>
      </w:pPr>
      <w:r>
        <w:rPr>
          <w:rFonts w:hint="eastAsia" w:ascii="宋体" w:hAnsi="宋体"/>
          <w:color w:val="000000"/>
          <w:sz w:val="24"/>
        </w:rPr>
        <w:t xml:space="preserve">合同编号： 号 </w:t>
      </w:r>
    </w:p>
    <w:p>
      <w:pPr>
        <w:spacing w:line="360" w:lineRule="auto"/>
        <w:ind w:firstLine="420" w:firstLineChars="200"/>
        <w:rPr>
          <w:rFonts w:ascii="宋体" w:hAnsi="宋体" w:cs="宋体"/>
        </w:rPr>
      </w:pPr>
    </w:p>
    <w:p>
      <w:pPr>
        <w:spacing w:line="360" w:lineRule="auto"/>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采购人：</w:t>
      </w:r>
      <w:r>
        <w:rPr>
          <w:rFonts w:hint="eastAsia" w:ascii="宋体" w:hAnsi="宋体" w:cs="宋体"/>
          <w:color w:val="000000" w:themeColor="text1"/>
          <w:sz w:val="24"/>
          <w:szCs w:val="24"/>
          <w:u w:val="single"/>
        </w:rPr>
        <w:t>湖北宜昌长江三峡游轮中心开发有限公司</w:t>
      </w:r>
      <w:r>
        <w:rPr>
          <w:rFonts w:hint="eastAsia" w:ascii="宋体" w:hAnsi="宋体" w:cs="宋体"/>
          <w:color w:val="000000" w:themeColor="text1"/>
          <w:sz w:val="24"/>
          <w:szCs w:val="24"/>
        </w:rPr>
        <w:t xml:space="preserve">（以下简称甲方） </w:t>
      </w:r>
    </w:p>
    <w:p>
      <w:pPr>
        <w:spacing w:line="360" w:lineRule="auto"/>
        <w:ind w:firstLine="480" w:firstLineChars="200"/>
        <w:rPr>
          <w:rFonts w:ascii="宋体" w:hAnsi="宋体" w:cs="宋体"/>
          <w:color w:val="000000" w:themeColor="text1"/>
          <w:sz w:val="22"/>
        </w:rPr>
      </w:pPr>
      <w:r>
        <w:rPr>
          <w:rFonts w:hint="eastAsia" w:ascii="宋体" w:hAnsi="宋体" w:cs="宋体"/>
          <w:color w:val="000000" w:themeColor="text1"/>
          <w:sz w:val="24"/>
          <w:szCs w:val="24"/>
        </w:rPr>
        <w:t>成交供应商：</w:t>
      </w:r>
      <w:r>
        <w:rPr>
          <w:rFonts w:hint="eastAsia" w:ascii="宋体" w:hAnsi="宋体" w:cs="宋体"/>
          <w:color w:val="000000" w:themeColor="text1"/>
          <w:sz w:val="24"/>
          <w:szCs w:val="24"/>
          <w:u w:val="single"/>
        </w:rPr>
        <w:t xml:space="preserve">                                 </w:t>
      </w:r>
      <w:r>
        <w:rPr>
          <w:rFonts w:hint="eastAsia" w:ascii="宋体" w:hAnsi="宋体" w:cs="宋体"/>
          <w:color w:val="000000" w:themeColor="text1"/>
          <w:sz w:val="24"/>
          <w:szCs w:val="24"/>
        </w:rPr>
        <w:t>（以下简称乙方）</w:t>
      </w:r>
    </w:p>
    <w:p>
      <w:pPr>
        <w:spacing w:line="360" w:lineRule="auto"/>
        <w:ind w:firstLine="470" w:firstLineChars="196"/>
        <w:rPr>
          <w:rFonts w:ascii="宋体" w:hAnsi="宋体" w:eastAsia="宋体" w:cs="宋体"/>
          <w:color w:val="000000" w:themeColor="text1"/>
          <w:sz w:val="24"/>
          <w:szCs w:val="24"/>
          <w:highlight w:val="white"/>
        </w:rPr>
      </w:pPr>
      <w:r>
        <w:rPr>
          <w:rFonts w:hint="eastAsia" w:ascii="宋体" w:hAnsi="宋体" w:eastAsia="宋体" w:cs="宋体"/>
          <w:color w:val="000000" w:themeColor="text1"/>
          <w:sz w:val="24"/>
          <w:szCs w:val="24"/>
          <w:highlight w:val="white"/>
        </w:rPr>
        <w:t>根据《中华人民共和国合同法》、《中华人民共和国建筑法》及有关法律规定，遵循平等、自愿、公平和诚实信用的原则，双方就</w:t>
      </w:r>
      <w:bookmarkStart w:id="184" w:name="EB9eda16875ee0434585ba967d00e28073"/>
      <w:r>
        <w:rPr>
          <w:rFonts w:hint="eastAsia" w:ascii="宋体" w:hAnsi="宋体" w:eastAsia="宋体" w:cs="宋体"/>
          <w:color w:val="000000" w:themeColor="text1"/>
          <w:sz w:val="24"/>
          <w:szCs w:val="24"/>
          <w:highlight w:val="white"/>
        </w:rPr>
        <w:t>宜昌三峡国际游轮中心码头工程过渡期供电照明监控系统</w:t>
      </w:r>
      <w:bookmarkEnd w:id="184"/>
      <w:r>
        <w:rPr>
          <w:rFonts w:hint="eastAsia" w:ascii="宋体" w:hAnsi="宋体" w:eastAsia="宋体" w:cs="宋体"/>
          <w:color w:val="000000" w:themeColor="text1"/>
          <w:sz w:val="24"/>
          <w:szCs w:val="24"/>
          <w:highlight w:val="white"/>
        </w:rPr>
        <w:t>工程施工（第3次招标）及有关事项协商一致，共同达成如下协议：</w:t>
      </w:r>
    </w:p>
    <w:p>
      <w:pPr>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highlight w:val="white"/>
        </w:rPr>
        <w:t>一、工程概况</w:t>
      </w:r>
    </w:p>
    <w:p>
      <w:pPr>
        <w:spacing w:line="360" w:lineRule="auto"/>
        <w:ind w:firstLine="470" w:firstLineChars="196"/>
        <w:rPr>
          <w:rFonts w:ascii="宋体" w:hAnsi="宋体" w:eastAsia="宋体" w:cs="宋体"/>
          <w:color w:val="000000" w:themeColor="text1"/>
          <w:sz w:val="24"/>
          <w:szCs w:val="24"/>
          <w:u w:val="single"/>
        </w:rPr>
      </w:pPr>
      <w:r>
        <w:rPr>
          <w:rFonts w:hint="eastAsia" w:ascii="宋体" w:hAnsi="宋体" w:eastAsia="宋体" w:cs="宋体"/>
          <w:bCs/>
          <w:color w:val="000000" w:themeColor="text1"/>
          <w:sz w:val="24"/>
          <w:szCs w:val="24"/>
          <w:highlight w:val="white"/>
        </w:rPr>
        <w:t>1、工程名称</w:t>
      </w:r>
      <w:r>
        <w:rPr>
          <w:rFonts w:hint="eastAsia" w:ascii="宋体" w:hAnsi="宋体" w:eastAsia="宋体" w:cs="宋体"/>
          <w:color w:val="000000" w:themeColor="text1"/>
          <w:sz w:val="24"/>
          <w:szCs w:val="24"/>
          <w:highlight w:val="white"/>
        </w:rPr>
        <w:t>：</w:t>
      </w:r>
      <w:bookmarkStart w:id="185" w:name="EBc98461bf1a9c4ee696fd66903316e13e"/>
      <w:r>
        <w:rPr>
          <w:rFonts w:hint="eastAsia" w:ascii="宋体" w:hAnsi="宋体" w:eastAsia="宋体" w:cs="宋体"/>
          <w:color w:val="000000" w:themeColor="text1"/>
          <w:sz w:val="24"/>
          <w:szCs w:val="24"/>
          <w:highlight w:val="white"/>
        </w:rPr>
        <w:t>宜昌三峡国际游轮中心码头工程过渡期供电照明监控系统项目（第3次招标）</w:t>
      </w:r>
      <w:bookmarkEnd w:id="185"/>
    </w:p>
    <w:p>
      <w:pPr>
        <w:spacing w:line="360" w:lineRule="auto"/>
        <w:ind w:firstLine="470" w:firstLineChars="196"/>
        <w:rPr>
          <w:rFonts w:ascii="宋体" w:hAnsi="宋体" w:eastAsia="宋体" w:cs="宋体"/>
          <w:bCs/>
          <w:color w:val="000000" w:themeColor="text1"/>
          <w:sz w:val="24"/>
          <w:szCs w:val="24"/>
        </w:rPr>
      </w:pPr>
      <w:r>
        <w:rPr>
          <w:rFonts w:hint="eastAsia" w:ascii="宋体" w:hAnsi="宋体" w:eastAsia="宋体" w:cs="宋体"/>
          <w:bCs/>
          <w:color w:val="000000" w:themeColor="text1"/>
          <w:sz w:val="24"/>
          <w:szCs w:val="24"/>
          <w:highlight w:val="white"/>
        </w:rPr>
        <w:t>2、工程地点：</w:t>
      </w:r>
      <w:bookmarkStart w:id="186" w:name="EB53d9aff6249c4644a3c55159111cfe8f"/>
      <w:r>
        <w:rPr>
          <w:rFonts w:hint="eastAsia" w:ascii="宋体" w:hAnsi="宋体" w:eastAsia="宋体" w:cs="宋体"/>
          <w:bCs/>
          <w:color w:val="000000" w:themeColor="text1"/>
          <w:sz w:val="24"/>
          <w:szCs w:val="24"/>
          <w:highlight w:val="white"/>
        </w:rPr>
        <w:t>宜昌市黄柏河河口左岸夜明珠片区</w:t>
      </w:r>
      <w:bookmarkEnd w:id="186"/>
    </w:p>
    <w:p>
      <w:pPr>
        <w:spacing w:line="360" w:lineRule="auto"/>
        <w:ind w:firstLine="470" w:firstLineChars="196"/>
        <w:rPr>
          <w:rFonts w:ascii="宋体" w:hAnsi="宋体" w:eastAsia="宋体" w:cs="宋体"/>
          <w:bCs/>
          <w:color w:val="000000" w:themeColor="text1"/>
          <w:sz w:val="24"/>
          <w:szCs w:val="24"/>
        </w:rPr>
      </w:pPr>
      <w:r>
        <w:rPr>
          <w:rFonts w:hint="eastAsia" w:ascii="宋体" w:hAnsi="宋体" w:eastAsia="宋体" w:cs="宋体"/>
          <w:bCs/>
          <w:color w:val="000000" w:themeColor="text1"/>
          <w:sz w:val="24"/>
          <w:szCs w:val="24"/>
          <w:highlight w:val="white"/>
        </w:rPr>
        <w:t>3、工程立项批准文号：</w:t>
      </w:r>
      <w:bookmarkStart w:id="187" w:name="EB8dd9dec5ec044a9f923128823313f7a6"/>
      <w:r>
        <w:rPr>
          <w:rFonts w:hint="eastAsia" w:ascii="宋体" w:hAnsi="宋体" w:eastAsia="宋体" w:cs="宋体"/>
          <w:bCs/>
          <w:color w:val="000000" w:themeColor="text1"/>
          <w:sz w:val="24"/>
          <w:szCs w:val="24"/>
          <w:highlight w:val="white"/>
        </w:rPr>
        <w:t>“宜发改审批【2016】183号”和“宜发改审批【2016】132号”</w:t>
      </w:r>
      <w:bookmarkEnd w:id="187"/>
    </w:p>
    <w:p>
      <w:pPr>
        <w:spacing w:line="360" w:lineRule="auto"/>
        <w:ind w:firstLine="470" w:firstLineChars="196"/>
        <w:rPr>
          <w:rFonts w:ascii="宋体" w:hAnsi="宋体" w:eastAsia="宋体" w:cs="宋体"/>
          <w:bCs/>
          <w:color w:val="000000" w:themeColor="text1"/>
          <w:sz w:val="24"/>
          <w:szCs w:val="24"/>
          <w:highlight w:val="green"/>
        </w:rPr>
      </w:pPr>
      <w:r>
        <w:rPr>
          <w:rFonts w:hint="eastAsia" w:ascii="宋体" w:hAnsi="宋体" w:eastAsia="宋体" w:cs="宋体"/>
          <w:bCs/>
          <w:color w:val="000000" w:themeColor="text1"/>
          <w:sz w:val="24"/>
          <w:szCs w:val="24"/>
          <w:highlight w:val="white"/>
        </w:rPr>
        <w:t>4、资金来源：</w:t>
      </w:r>
      <w:bookmarkStart w:id="188" w:name="EB15e753295da542dc939d57d06c9f5064"/>
      <w:r>
        <w:rPr>
          <w:rFonts w:hint="eastAsia" w:ascii="宋体" w:hAnsi="宋体" w:eastAsia="宋体" w:cs="宋体"/>
          <w:bCs/>
          <w:color w:val="000000" w:themeColor="text1"/>
          <w:sz w:val="24"/>
          <w:szCs w:val="24"/>
          <w:highlight w:val="white"/>
        </w:rPr>
        <w:t>单位自筹和银行贷款</w:t>
      </w:r>
      <w:bookmarkEnd w:id="188"/>
    </w:p>
    <w:p>
      <w:pPr>
        <w:spacing w:line="360" w:lineRule="auto"/>
        <w:ind w:firstLine="470" w:firstLineChars="196"/>
        <w:rPr>
          <w:rFonts w:ascii="宋体" w:hAnsi="宋体" w:eastAsia="宋体" w:cs="宋体"/>
          <w:bCs/>
          <w:color w:val="000000" w:themeColor="text1"/>
          <w:sz w:val="24"/>
          <w:szCs w:val="24"/>
        </w:rPr>
      </w:pPr>
      <w:r>
        <w:rPr>
          <w:rFonts w:hint="eastAsia" w:ascii="宋体" w:hAnsi="宋体" w:eastAsia="宋体" w:cs="宋体"/>
          <w:bCs/>
          <w:color w:val="000000" w:themeColor="text1"/>
          <w:sz w:val="24"/>
          <w:szCs w:val="24"/>
          <w:highlight w:val="white"/>
        </w:rPr>
        <w:t>5、工程内容：</w:t>
      </w:r>
    </w:p>
    <w:p>
      <w:pPr>
        <w:spacing w:line="360" w:lineRule="auto"/>
        <w:ind w:firstLine="470" w:firstLineChars="196"/>
        <w:rPr>
          <w:rFonts w:ascii="宋体" w:hAnsi="宋体" w:eastAsia="宋体" w:cs="宋体"/>
          <w:bCs/>
          <w:color w:val="000000" w:themeColor="text1"/>
          <w:sz w:val="24"/>
          <w:szCs w:val="24"/>
          <w:highlight w:val="green"/>
        </w:rPr>
      </w:pPr>
      <w:bookmarkStart w:id="189" w:name="EBd5e36f2d916b4f308b3d0d4e9c2f59c8"/>
      <w:r>
        <w:rPr>
          <w:rFonts w:hint="eastAsia" w:ascii="宋体" w:hAnsi="宋体" w:eastAsia="宋体" w:cs="宋体"/>
          <w:bCs/>
          <w:color w:val="000000" w:themeColor="text1"/>
          <w:sz w:val="24"/>
          <w:szCs w:val="24"/>
          <w:highlight w:val="white"/>
        </w:rPr>
        <w:t>宜昌三峡国际游轮中心码头工程位于宜昌市西陵区夜明珠片区，黄柏河左岸。建设规模：建设10个游轮泊位，设计年游客吞吐量200万人次。包括6个500客位游轮泊位、2个200客位游轮泊位、2个320客位大型豪华游轮泊位。同时，建设相应的配套辅助设施。</w:t>
      </w:r>
      <w:bookmarkEnd w:id="189"/>
    </w:p>
    <w:p>
      <w:pPr>
        <w:spacing w:line="360" w:lineRule="auto"/>
        <w:ind w:firstLine="470" w:firstLineChars="196"/>
        <w:rPr>
          <w:rFonts w:ascii="宋体" w:hAnsi="宋体" w:eastAsia="宋体" w:cs="宋体"/>
          <w:bCs/>
          <w:color w:val="000000" w:themeColor="text1"/>
          <w:sz w:val="24"/>
          <w:szCs w:val="24"/>
        </w:rPr>
      </w:pPr>
      <w:r>
        <w:rPr>
          <w:rFonts w:hint="eastAsia" w:ascii="宋体" w:hAnsi="宋体" w:eastAsia="宋体" w:cs="宋体"/>
          <w:color w:val="000000" w:themeColor="text1"/>
          <w:sz w:val="24"/>
          <w:szCs w:val="24"/>
          <w:highlight w:val="white"/>
        </w:rPr>
        <w:t>群体工程应附《承包人承揽工程项目一览表》（附件1）。</w:t>
      </w:r>
    </w:p>
    <w:p>
      <w:pPr>
        <w:spacing w:line="360" w:lineRule="auto"/>
        <w:ind w:firstLine="470" w:firstLineChars="196"/>
        <w:rPr>
          <w:rFonts w:ascii="宋体" w:hAnsi="宋体" w:eastAsia="宋体" w:cs="宋体"/>
          <w:bCs/>
          <w:color w:val="000000" w:themeColor="text1"/>
          <w:sz w:val="24"/>
          <w:szCs w:val="24"/>
        </w:rPr>
      </w:pPr>
      <w:r>
        <w:rPr>
          <w:rFonts w:hint="eastAsia" w:ascii="宋体" w:hAnsi="宋体" w:eastAsia="宋体" w:cs="宋体"/>
          <w:bCs/>
          <w:color w:val="000000" w:themeColor="text1"/>
          <w:sz w:val="24"/>
          <w:szCs w:val="24"/>
          <w:highlight w:val="white"/>
        </w:rPr>
        <w:t>6、工程承包范围：</w:t>
      </w:r>
    </w:p>
    <w:p>
      <w:pPr>
        <w:spacing w:line="360" w:lineRule="auto"/>
        <w:ind w:firstLine="470" w:firstLineChars="196"/>
        <w:rPr>
          <w:rFonts w:ascii="宋体" w:hAnsi="宋体" w:eastAsia="宋体" w:cs="宋体"/>
          <w:bCs/>
          <w:color w:val="000000" w:themeColor="text1"/>
          <w:sz w:val="24"/>
          <w:szCs w:val="24"/>
          <w:highlight w:val="green"/>
        </w:rPr>
      </w:pPr>
      <w:bookmarkStart w:id="190" w:name="EB5fefbc2665c7438ba4c39a5b4cbd067f"/>
      <w:r>
        <w:rPr>
          <w:rFonts w:hint="eastAsia" w:ascii="宋体" w:hAnsi="宋体" w:eastAsia="宋体" w:cs="宋体"/>
          <w:bCs/>
          <w:color w:val="000000" w:themeColor="text1"/>
          <w:sz w:val="24"/>
          <w:szCs w:val="24"/>
          <w:highlight w:val="white"/>
        </w:rPr>
        <w:t>设计施工图范围内的全部工作内容。包含建设宜昌三峡国际游轮中心码头工程码头过渡期供电照明监控系统：一是泊位照明系统控制系统，二是码头泊位的视频监控系统，三是综合总控室。（详见工程量清单）</w:t>
      </w:r>
      <w:bookmarkEnd w:id="190"/>
    </w:p>
    <w:p>
      <w:pPr>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highlight w:val="white"/>
        </w:rPr>
        <w:t>二、合同工期</w:t>
      </w:r>
    </w:p>
    <w:p>
      <w:pPr>
        <w:spacing w:line="360" w:lineRule="auto"/>
        <w:ind w:firstLine="459"/>
        <w:rPr>
          <w:rFonts w:ascii="宋体" w:hAnsi="宋体" w:eastAsia="宋体" w:cs="宋体"/>
          <w:color w:val="000000" w:themeColor="text1"/>
          <w:sz w:val="24"/>
          <w:szCs w:val="24"/>
        </w:rPr>
      </w:pPr>
      <w:r>
        <w:rPr>
          <w:rFonts w:hint="eastAsia" w:ascii="宋体" w:hAnsi="宋体" w:eastAsia="宋体" w:cs="宋体"/>
          <w:color w:val="000000" w:themeColor="text1"/>
          <w:sz w:val="24"/>
          <w:szCs w:val="24"/>
          <w:highlight w:val="white"/>
        </w:rPr>
        <w:t>计划开工日期：</w:t>
      </w:r>
      <w:bookmarkStart w:id="191" w:name="EB30102b6ae3444714968a516f88089e4a"/>
      <w:r>
        <w:rPr>
          <w:rFonts w:hint="eastAsia" w:ascii="宋体" w:hAnsi="宋体" w:eastAsia="宋体" w:cs="宋体"/>
          <w:color w:val="000000" w:themeColor="text1"/>
          <w:sz w:val="24"/>
          <w:szCs w:val="24"/>
          <w:highlight w:val="white"/>
        </w:rPr>
        <w:t xml:space="preserve">  </w:t>
      </w:r>
      <w:bookmarkEnd w:id="191"/>
    </w:p>
    <w:p>
      <w:pPr>
        <w:spacing w:line="360" w:lineRule="auto"/>
        <w:ind w:firstLine="459"/>
        <w:rPr>
          <w:rFonts w:ascii="宋体" w:hAnsi="宋体" w:eastAsia="宋体" w:cs="宋体"/>
          <w:color w:val="000000" w:themeColor="text1"/>
          <w:sz w:val="24"/>
          <w:szCs w:val="24"/>
        </w:rPr>
      </w:pPr>
      <w:r>
        <w:rPr>
          <w:rFonts w:hint="eastAsia" w:ascii="宋体" w:hAnsi="宋体" w:eastAsia="宋体" w:cs="宋体"/>
          <w:color w:val="000000" w:themeColor="text1"/>
          <w:sz w:val="24"/>
          <w:szCs w:val="24"/>
          <w:highlight w:val="white"/>
        </w:rPr>
        <w:t>计划竣工日期：</w:t>
      </w:r>
      <w:bookmarkStart w:id="192" w:name="EB866a95f6d20f4d54ac8fb714c7d2122f"/>
      <w:r>
        <w:rPr>
          <w:rFonts w:hint="eastAsia" w:ascii="宋体" w:hAnsi="宋体" w:eastAsia="宋体" w:cs="宋体"/>
          <w:color w:val="000000" w:themeColor="text1"/>
          <w:sz w:val="24"/>
          <w:szCs w:val="24"/>
          <w:highlight w:val="white"/>
        </w:rPr>
        <w:t xml:space="preserve">  </w:t>
      </w:r>
      <w:bookmarkEnd w:id="192"/>
    </w:p>
    <w:p>
      <w:pPr>
        <w:spacing w:line="360" w:lineRule="auto"/>
        <w:ind w:firstLine="459"/>
        <w:rPr>
          <w:rFonts w:ascii="宋体" w:hAnsi="宋体" w:eastAsia="宋体" w:cs="宋体"/>
          <w:color w:val="000000" w:themeColor="text1"/>
          <w:sz w:val="24"/>
          <w:szCs w:val="24"/>
        </w:rPr>
      </w:pPr>
      <w:r>
        <w:rPr>
          <w:rFonts w:hint="eastAsia" w:ascii="宋体" w:hAnsi="宋体" w:eastAsia="宋体" w:cs="宋体"/>
          <w:color w:val="000000" w:themeColor="text1"/>
          <w:sz w:val="24"/>
          <w:szCs w:val="24"/>
          <w:highlight w:val="white"/>
        </w:rPr>
        <w:t>工期总日历天数：</w:t>
      </w:r>
      <w:bookmarkStart w:id="193" w:name="EBf106331330dc474c8ab88befb128dba0"/>
      <w:r>
        <w:rPr>
          <w:rFonts w:hint="eastAsia" w:ascii="宋体" w:hAnsi="宋体" w:eastAsia="宋体" w:cs="宋体"/>
          <w:color w:val="000000" w:themeColor="text1"/>
          <w:sz w:val="24"/>
          <w:szCs w:val="24"/>
          <w:highlight w:val="white"/>
        </w:rPr>
        <w:t>30日历</w:t>
      </w:r>
      <w:bookmarkEnd w:id="193"/>
      <w:r>
        <w:rPr>
          <w:rFonts w:hint="eastAsia" w:ascii="宋体" w:hAnsi="宋体" w:eastAsia="宋体" w:cs="宋体"/>
          <w:color w:val="000000" w:themeColor="text1"/>
          <w:sz w:val="24"/>
          <w:szCs w:val="24"/>
          <w:highlight w:val="white"/>
        </w:rPr>
        <w:t>天。工期总日历天数与根据前述计划开竣工日期计算的工期天数不一致的，以工期总日历天数为准。</w:t>
      </w:r>
    </w:p>
    <w:p>
      <w:pPr>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highlight w:val="white"/>
        </w:rPr>
        <w:t>三、质量标准</w:t>
      </w:r>
    </w:p>
    <w:p>
      <w:pPr>
        <w:spacing w:line="360" w:lineRule="auto"/>
        <w:ind w:firstLine="459"/>
        <w:rPr>
          <w:rFonts w:ascii="宋体" w:hAnsi="宋体" w:eastAsia="宋体" w:cs="宋体"/>
          <w:color w:val="000000" w:themeColor="text1"/>
          <w:sz w:val="24"/>
          <w:szCs w:val="24"/>
        </w:rPr>
      </w:pPr>
      <w:r>
        <w:rPr>
          <w:rFonts w:hint="eastAsia" w:ascii="宋体" w:hAnsi="宋体" w:eastAsia="宋体" w:cs="宋体"/>
          <w:color w:val="000000" w:themeColor="text1"/>
          <w:sz w:val="24"/>
          <w:szCs w:val="24"/>
          <w:highlight w:val="white"/>
        </w:rPr>
        <w:t>工程质量符合</w:t>
      </w:r>
      <w:bookmarkStart w:id="194" w:name="EBe446c6ed329b4e62ba8371166714b341"/>
      <w:r>
        <w:rPr>
          <w:rFonts w:hint="eastAsia" w:ascii="宋体" w:hAnsi="宋体" w:eastAsia="宋体" w:cs="宋体"/>
          <w:color w:val="000000" w:themeColor="text1"/>
          <w:sz w:val="24"/>
          <w:szCs w:val="24"/>
          <w:highlight w:val="white"/>
        </w:rPr>
        <w:t>达到国家现行相关施工验收标准规范的合格等级</w:t>
      </w:r>
      <w:bookmarkEnd w:id="194"/>
      <w:r>
        <w:rPr>
          <w:rFonts w:hint="eastAsia" w:ascii="宋体" w:hAnsi="宋体" w:eastAsia="宋体" w:cs="宋体"/>
          <w:color w:val="000000" w:themeColor="text1"/>
          <w:sz w:val="24"/>
          <w:szCs w:val="24"/>
          <w:highlight w:val="white"/>
        </w:rPr>
        <w:t>标准。</w:t>
      </w:r>
    </w:p>
    <w:p>
      <w:pPr>
        <w:rPr>
          <w:rFonts w:ascii="宋体" w:hAnsi="宋体" w:eastAsia="宋体" w:cs="宋体"/>
          <w:b/>
          <w:sz w:val="24"/>
          <w:szCs w:val="24"/>
        </w:rPr>
      </w:pPr>
      <w:r>
        <w:rPr>
          <w:rFonts w:hint="eastAsia" w:ascii="宋体" w:hAnsi="宋体" w:eastAsia="宋体" w:cs="宋体"/>
          <w:b/>
          <w:sz w:val="24"/>
          <w:szCs w:val="24"/>
          <w:highlight w:val="white"/>
        </w:rPr>
        <w:t>四、签约合同价与合同价格形式</w:t>
      </w:r>
      <w:r>
        <w:rPr>
          <w:rFonts w:hint="eastAsia" w:ascii="宋体" w:hAnsi="宋体" w:eastAsia="宋体" w:cs="宋体"/>
          <w:b/>
          <w:sz w:val="24"/>
          <w:szCs w:val="24"/>
          <w:highlight w:val="white"/>
        </w:rPr>
        <w:tab/>
      </w:r>
    </w:p>
    <w:p>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1.签约合同价为：</w:t>
      </w:r>
    </w:p>
    <w:p>
      <w:pPr>
        <w:spacing w:line="360" w:lineRule="auto"/>
        <w:ind w:firstLine="600" w:firstLineChars="250"/>
        <w:rPr>
          <w:rFonts w:ascii="宋体" w:hAnsi="宋体" w:eastAsia="宋体" w:cs="宋体"/>
          <w:color w:val="000000"/>
          <w:sz w:val="24"/>
          <w:szCs w:val="24"/>
        </w:rPr>
      </w:pPr>
      <w:r>
        <w:rPr>
          <w:rFonts w:hint="eastAsia" w:ascii="宋体" w:hAnsi="宋体" w:eastAsia="宋体" w:cs="宋体"/>
          <w:color w:val="000000"/>
          <w:sz w:val="24"/>
          <w:szCs w:val="24"/>
          <w:highlight w:val="white"/>
        </w:rPr>
        <w:t>人民币（大写）</w:t>
      </w:r>
      <w:bookmarkStart w:id="195" w:name="EB45f272a09b054900baf9d24c75b97a3b"/>
      <w:r>
        <w:rPr>
          <w:rFonts w:hint="eastAsia" w:ascii="宋体" w:hAnsi="宋体" w:eastAsia="宋体" w:cs="宋体"/>
          <w:color w:val="0000FF"/>
          <w:sz w:val="24"/>
          <w:szCs w:val="24"/>
          <w:highlight w:val="white"/>
        </w:rPr>
        <w:t xml:space="preserve">  </w:t>
      </w:r>
      <w:bookmarkEnd w:id="195"/>
      <w:r>
        <w:rPr>
          <w:rFonts w:hint="eastAsia" w:ascii="宋体" w:hAnsi="宋体" w:eastAsia="宋体" w:cs="宋体"/>
          <w:color w:val="000000"/>
          <w:sz w:val="24"/>
          <w:szCs w:val="24"/>
          <w:highlight w:val="white"/>
        </w:rPr>
        <w:t>(¥</w:t>
      </w:r>
      <w:bookmarkStart w:id="196" w:name="EB7a1e483ddf554cc5a959daa202173576"/>
      <w:r>
        <w:rPr>
          <w:rFonts w:hint="eastAsia" w:ascii="宋体" w:hAnsi="宋体" w:eastAsia="宋体" w:cs="宋体"/>
          <w:color w:val="0000FF"/>
          <w:sz w:val="24"/>
          <w:szCs w:val="24"/>
          <w:highlight w:val="white"/>
        </w:rPr>
        <w:t xml:space="preserve">  </w:t>
      </w:r>
      <w:bookmarkEnd w:id="196"/>
      <w:r>
        <w:rPr>
          <w:rFonts w:hint="eastAsia" w:ascii="宋体" w:hAnsi="宋体" w:eastAsia="宋体" w:cs="宋体"/>
          <w:color w:val="000000"/>
          <w:sz w:val="24"/>
          <w:szCs w:val="24"/>
          <w:highlight w:val="white"/>
        </w:rPr>
        <w:t>元)，（此价格为含税价格，不包括甲供材费用</w:t>
      </w:r>
      <w:bookmarkStart w:id="197" w:name="EB00e1bee0d93b4daba6b755ba69f8f506"/>
      <w:r>
        <w:rPr>
          <w:rFonts w:hint="eastAsia" w:ascii="宋体" w:hAnsi="宋体" w:eastAsia="宋体" w:cs="宋体"/>
          <w:color w:val="0000FF"/>
          <w:sz w:val="24"/>
          <w:szCs w:val="24"/>
          <w:highlight w:val="white"/>
        </w:rPr>
        <w:t xml:space="preserve">  </w:t>
      </w:r>
      <w:bookmarkEnd w:id="197"/>
      <w:r>
        <w:rPr>
          <w:rFonts w:hint="eastAsia" w:ascii="宋体" w:hAnsi="宋体" w:eastAsia="宋体" w:cs="宋体"/>
          <w:sz w:val="24"/>
          <w:szCs w:val="24"/>
          <w:highlight w:val="white"/>
        </w:rPr>
        <w:t xml:space="preserve"> (¥</w:t>
      </w:r>
      <w:bookmarkStart w:id="198" w:name="EB4ddd04642f624da6abdb21f5c5e89412"/>
      <w:r>
        <w:rPr>
          <w:rFonts w:hint="eastAsia" w:ascii="宋体" w:hAnsi="宋体" w:eastAsia="宋体" w:cs="宋体"/>
          <w:color w:val="0000FF"/>
          <w:sz w:val="24"/>
          <w:szCs w:val="24"/>
          <w:highlight w:val="white"/>
        </w:rPr>
        <w:t xml:space="preserve">  </w:t>
      </w:r>
      <w:bookmarkEnd w:id="198"/>
      <w:r>
        <w:rPr>
          <w:rFonts w:hint="eastAsia" w:ascii="宋体" w:hAnsi="宋体" w:eastAsia="宋体" w:cs="宋体"/>
          <w:sz w:val="24"/>
          <w:szCs w:val="24"/>
          <w:highlight w:val="white"/>
        </w:rPr>
        <w:t>)元）</w:t>
      </w:r>
    </w:p>
    <w:p>
      <w:pPr>
        <w:spacing w:line="360" w:lineRule="auto"/>
        <w:ind w:firstLine="600" w:firstLineChars="250"/>
        <w:rPr>
          <w:rFonts w:ascii="宋体" w:hAnsi="宋体" w:eastAsia="宋体" w:cs="宋体"/>
          <w:color w:val="0000FF"/>
          <w:sz w:val="24"/>
          <w:szCs w:val="24"/>
          <w:u w:val="single"/>
        </w:rPr>
      </w:pPr>
      <w:r>
        <w:rPr>
          <w:rFonts w:hint="eastAsia" w:ascii="宋体" w:hAnsi="宋体" w:eastAsia="宋体" w:cs="宋体"/>
          <w:color w:val="000000"/>
          <w:sz w:val="24"/>
          <w:szCs w:val="24"/>
          <w:highlight w:val="white"/>
        </w:rPr>
        <w:t>发包人纳税人类别：</w:t>
      </w:r>
      <w:bookmarkStart w:id="199" w:name="EB08e863e1a8744c9b942a2e68edd68581"/>
      <w:r>
        <w:rPr>
          <w:rFonts w:hint="eastAsia" w:ascii="宋体" w:hAnsi="宋体" w:eastAsia="宋体" w:cs="宋体"/>
          <w:color w:val="0000FF"/>
          <w:sz w:val="24"/>
          <w:szCs w:val="24"/>
          <w:highlight w:val="white"/>
        </w:rPr>
        <w:t xml:space="preserve">         </w:t>
      </w:r>
      <w:bookmarkEnd w:id="199"/>
      <w:r>
        <w:rPr>
          <w:rFonts w:hint="eastAsia" w:ascii="宋体" w:hAnsi="宋体" w:eastAsia="宋体" w:cs="宋体"/>
          <w:color w:val="0000FF"/>
          <w:sz w:val="24"/>
          <w:szCs w:val="24"/>
          <w:highlight w:val="white"/>
        </w:rPr>
        <w:t>，</w:t>
      </w:r>
      <w:r>
        <w:rPr>
          <w:rFonts w:hint="eastAsia" w:ascii="宋体" w:hAnsi="宋体" w:eastAsia="宋体" w:cs="宋体"/>
          <w:sz w:val="24"/>
          <w:szCs w:val="24"/>
          <w:highlight w:val="white"/>
        </w:rPr>
        <w:t>承包人纳税人类别：</w:t>
      </w:r>
      <w:bookmarkStart w:id="200" w:name="EBb9faf14a28514ffdbed6b61c222238d2"/>
      <w:r>
        <w:rPr>
          <w:rFonts w:hint="eastAsia" w:ascii="宋体" w:hAnsi="宋体" w:eastAsia="宋体" w:cs="宋体"/>
          <w:sz w:val="24"/>
          <w:szCs w:val="24"/>
          <w:highlight w:val="white"/>
        </w:rPr>
        <w:t xml:space="preserve">     </w:t>
      </w:r>
      <w:r>
        <w:rPr>
          <w:rFonts w:hint="eastAsia" w:ascii="宋体" w:hAnsi="宋体" w:eastAsia="宋体" w:cs="宋体"/>
          <w:color w:val="0000FF"/>
          <w:sz w:val="24"/>
          <w:szCs w:val="24"/>
          <w:highlight w:val="white"/>
        </w:rPr>
        <w:t xml:space="preserve">  </w:t>
      </w:r>
      <w:bookmarkEnd w:id="200"/>
      <w:r>
        <w:rPr>
          <w:rFonts w:hint="eastAsia" w:ascii="宋体" w:hAnsi="宋体" w:eastAsia="宋体" w:cs="宋体"/>
          <w:sz w:val="24"/>
          <w:szCs w:val="24"/>
          <w:highlight w:val="white"/>
        </w:rPr>
        <w:t>。</w:t>
      </w:r>
    </w:p>
    <w:p>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其中：</w:t>
      </w:r>
    </w:p>
    <w:p>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（1）安全文明施工费：</w:t>
      </w:r>
    </w:p>
    <w:p>
      <w:pPr>
        <w:spacing w:line="360" w:lineRule="auto"/>
        <w:ind w:firstLine="1080" w:firstLineChars="450"/>
        <w:rPr>
          <w:rFonts w:ascii="宋体" w:hAnsi="宋体" w:eastAsia="宋体" w:cs="宋体"/>
          <w:color w:val="000000"/>
          <w:sz w:val="24"/>
          <w:szCs w:val="24"/>
        </w:rPr>
      </w:pPr>
      <w:r>
        <w:rPr>
          <w:rFonts w:hint="eastAsia" w:ascii="宋体" w:hAnsi="宋体" w:eastAsia="宋体" w:cs="宋体"/>
          <w:color w:val="000000"/>
          <w:sz w:val="24"/>
          <w:szCs w:val="24"/>
          <w:highlight w:val="white"/>
        </w:rPr>
        <w:t>人民币（大写）</w:t>
      </w:r>
      <w:bookmarkStart w:id="201" w:name="EB8d02e38e9dad414dbfc10e74a3b86da2"/>
      <w:r>
        <w:rPr>
          <w:rFonts w:hint="eastAsia" w:ascii="宋体" w:hAnsi="宋体" w:eastAsia="宋体" w:cs="宋体"/>
          <w:color w:val="0000FF"/>
          <w:sz w:val="24"/>
          <w:szCs w:val="24"/>
          <w:highlight w:val="white"/>
        </w:rPr>
        <w:t xml:space="preserve">  </w:t>
      </w:r>
      <w:bookmarkEnd w:id="201"/>
      <w:r>
        <w:rPr>
          <w:rFonts w:hint="eastAsia" w:ascii="宋体" w:hAnsi="宋体" w:eastAsia="宋体" w:cs="宋体"/>
          <w:sz w:val="24"/>
          <w:szCs w:val="24"/>
          <w:highlight w:val="white"/>
        </w:rPr>
        <w:t>(¥</w:t>
      </w:r>
      <w:bookmarkStart w:id="202" w:name="EBca6d1cb1134d4db2b63654b49ac2fb4f"/>
      <w:r>
        <w:rPr>
          <w:rFonts w:hint="eastAsia" w:ascii="宋体" w:hAnsi="宋体" w:eastAsia="宋体" w:cs="宋体"/>
          <w:color w:val="0000FF"/>
          <w:sz w:val="24"/>
          <w:szCs w:val="24"/>
          <w:highlight w:val="white"/>
        </w:rPr>
        <w:t xml:space="preserve">  </w:t>
      </w:r>
      <w:bookmarkEnd w:id="202"/>
      <w:r>
        <w:rPr>
          <w:rFonts w:hint="eastAsia" w:ascii="宋体" w:hAnsi="宋体" w:eastAsia="宋体" w:cs="宋体"/>
          <w:sz w:val="24"/>
          <w:szCs w:val="24"/>
          <w:highlight w:val="white"/>
        </w:rPr>
        <w:t>)元）</w:t>
      </w:r>
      <w:r>
        <w:rPr>
          <w:rFonts w:hint="eastAsia" w:ascii="宋体" w:hAnsi="宋体" w:eastAsia="宋体" w:cs="宋体"/>
          <w:color w:val="000000"/>
          <w:sz w:val="24"/>
          <w:szCs w:val="24"/>
          <w:highlight w:val="white"/>
        </w:rPr>
        <w:t>；</w:t>
      </w:r>
    </w:p>
    <w:p>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（2）材料和工程设备暂估价金额：</w:t>
      </w:r>
    </w:p>
    <w:p>
      <w:pPr>
        <w:spacing w:line="360" w:lineRule="auto"/>
        <w:ind w:firstLine="1080" w:firstLineChars="450"/>
        <w:rPr>
          <w:rFonts w:ascii="宋体" w:hAnsi="宋体" w:eastAsia="宋体" w:cs="宋体"/>
          <w:color w:val="000000"/>
          <w:sz w:val="24"/>
          <w:szCs w:val="24"/>
        </w:rPr>
      </w:pPr>
      <w:r>
        <w:rPr>
          <w:rFonts w:hint="eastAsia" w:ascii="宋体" w:hAnsi="宋体" w:eastAsia="宋体" w:cs="宋体"/>
          <w:color w:val="000000"/>
          <w:sz w:val="24"/>
          <w:szCs w:val="24"/>
          <w:highlight w:val="white"/>
        </w:rPr>
        <w:t>人民币（大写）</w:t>
      </w:r>
      <w:bookmarkStart w:id="203" w:name="EBdb02ef57e50142a39eeb305fc42f20d2"/>
      <w:r>
        <w:rPr>
          <w:rFonts w:hint="eastAsia" w:ascii="宋体" w:hAnsi="宋体" w:eastAsia="宋体" w:cs="宋体"/>
          <w:color w:val="0000FF"/>
          <w:sz w:val="24"/>
          <w:szCs w:val="24"/>
          <w:highlight w:val="white"/>
        </w:rPr>
        <w:t xml:space="preserve">  </w:t>
      </w:r>
      <w:bookmarkEnd w:id="203"/>
      <w:r>
        <w:rPr>
          <w:rFonts w:hint="eastAsia" w:ascii="宋体" w:hAnsi="宋体" w:eastAsia="宋体" w:cs="宋体"/>
          <w:sz w:val="24"/>
          <w:szCs w:val="24"/>
          <w:highlight w:val="white"/>
        </w:rPr>
        <w:t>(¥</w:t>
      </w:r>
      <w:bookmarkStart w:id="204" w:name="EB96b4ac15129f475c92f08a4607766478"/>
      <w:r>
        <w:rPr>
          <w:rFonts w:hint="eastAsia" w:ascii="宋体" w:hAnsi="宋体" w:eastAsia="宋体" w:cs="宋体"/>
          <w:color w:val="0000FF"/>
          <w:sz w:val="24"/>
          <w:szCs w:val="24"/>
          <w:highlight w:val="white"/>
        </w:rPr>
        <w:t xml:space="preserve">  </w:t>
      </w:r>
      <w:bookmarkEnd w:id="204"/>
      <w:r>
        <w:rPr>
          <w:rFonts w:hint="eastAsia" w:ascii="宋体" w:hAnsi="宋体" w:eastAsia="宋体" w:cs="宋体"/>
          <w:sz w:val="24"/>
          <w:szCs w:val="24"/>
          <w:highlight w:val="white"/>
        </w:rPr>
        <w:t>)元）</w:t>
      </w:r>
      <w:r>
        <w:rPr>
          <w:rFonts w:hint="eastAsia" w:ascii="宋体" w:hAnsi="宋体" w:eastAsia="宋体" w:cs="宋体"/>
          <w:color w:val="000000"/>
          <w:sz w:val="24"/>
          <w:szCs w:val="24"/>
          <w:highlight w:val="white"/>
        </w:rPr>
        <w:t>；</w:t>
      </w:r>
    </w:p>
    <w:p>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（3）专业工程暂估价金额：</w:t>
      </w:r>
    </w:p>
    <w:p>
      <w:pPr>
        <w:spacing w:line="360" w:lineRule="auto"/>
        <w:ind w:firstLine="1080" w:firstLineChars="450"/>
        <w:rPr>
          <w:rFonts w:ascii="宋体" w:hAnsi="宋体" w:eastAsia="宋体" w:cs="宋体"/>
          <w:color w:val="000000"/>
          <w:sz w:val="24"/>
          <w:szCs w:val="24"/>
        </w:rPr>
      </w:pPr>
      <w:r>
        <w:rPr>
          <w:rFonts w:hint="eastAsia" w:ascii="宋体" w:hAnsi="宋体" w:eastAsia="宋体" w:cs="宋体"/>
          <w:color w:val="000000"/>
          <w:sz w:val="24"/>
          <w:szCs w:val="24"/>
          <w:highlight w:val="white"/>
        </w:rPr>
        <w:t>人民币（大写）</w:t>
      </w:r>
      <w:bookmarkStart w:id="205" w:name="EBb3dde2accf2443e299d21aba6ab7b76f"/>
      <w:r>
        <w:rPr>
          <w:rFonts w:hint="eastAsia" w:ascii="宋体" w:hAnsi="宋体" w:eastAsia="宋体" w:cs="宋体"/>
          <w:color w:val="0000FF"/>
          <w:sz w:val="24"/>
          <w:szCs w:val="24"/>
          <w:highlight w:val="white"/>
        </w:rPr>
        <w:t xml:space="preserve">  </w:t>
      </w:r>
      <w:bookmarkEnd w:id="205"/>
      <w:r>
        <w:rPr>
          <w:rFonts w:hint="eastAsia" w:ascii="宋体" w:hAnsi="宋体" w:eastAsia="宋体" w:cs="宋体"/>
          <w:sz w:val="24"/>
          <w:szCs w:val="24"/>
          <w:highlight w:val="white"/>
        </w:rPr>
        <w:t>(¥</w:t>
      </w:r>
      <w:bookmarkStart w:id="206" w:name="EBa9bd0974f1454e5fbe166daab196402d"/>
      <w:r>
        <w:rPr>
          <w:rFonts w:hint="eastAsia" w:ascii="宋体" w:hAnsi="宋体" w:eastAsia="宋体" w:cs="宋体"/>
          <w:color w:val="0000FF"/>
          <w:sz w:val="24"/>
          <w:szCs w:val="24"/>
          <w:highlight w:val="white"/>
        </w:rPr>
        <w:t xml:space="preserve">  </w:t>
      </w:r>
      <w:bookmarkEnd w:id="206"/>
      <w:r>
        <w:rPr>
          <w:rFonts w:hint="eastAsia" w:ascii="宋体" w:hAnsi="宋体" w:eastAsia="宋体" w:cs="宋体"/>
          <w:sz w:val="24"/>
          <w:szCs w:val="24"/>
          <w:highlight w:val="white"/>
        </w:rPr>
        <w:t>)元）</w:t>
      </w:r>
      <w:r>
        <w:rPr>
          <w:rFonts w:hint="eastAsia" w:ascii="宋体" w:hAnsi="宋体" w:eastAsia="宋体" w:cs="宋体"/>
          <w:color w:val="000000"/>
          <w:sz w:val="24"/>
          <w:szCs w:val="24"/>
          <w:highlight w:val="white"/>
        </w:rPr>
        <w:t>；</w:t>
      </w:r>
    </w:p>
    <w:p>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（4）暂列金额：</w:t>
      </w:r>
    </w:p>
    <w:p>
      <w:pPr>
        <w:spacing w:line="360" w:lineRule="auto"/>
        <w:ind w:firstLine="1080" w:firstLineChars="450"/>
        <w:rPr>
          <w:rFonts w:ascii="宋体" w:hAnsi="宋体" w:eastAsia="宋体" w:cs="宋体"/>
          <w:color w:val="000000" w:themeColor="text1"/>
          <w:sz w:val="24"/>
          <w:szCs w:val="24"/>
        </w:rPr>
      </w:pPr>
      <w:r>
        <w:rPr>
          <w:rFonts w:hint="eastAsia" w:ascii="宋体" w:hAnsi="宋体" w:eastAsia="宋体" w:cs="宋体"/>
          <w:color w:val="000000" w:themeColor="text1"/>
          <w:sz w:val="24"/>
          <w:szCs w:val="24"/>
          <w:highlight w:val="white"/>
        </w:rPr>
        <w:t>人民币（大写）</w:t>
      </w:r>
      <w:bookmarkStart w:id="207" w:name="EB3b83f3275d4c4990b230e2971747a89b"/>
      <w:r>
        <w:rPr>
          <w:rFonts w:hint="eastAsia" w:ascii="宋体" w:hAnsi="宋体" w:eastAsia="宋体" w:cs="宋体"/>
          <w:color w:val="000000" w:themeColor="text1"/>
          <w:sz w:val="24"/>
          <w:szCs w:val="24"/>
          <w:highlight w:val="white"/>
        </w:rPr>
        <w:t xml:space="preserve">  </w:t>
      </w:r>
      <w:bookmarkEnd w:id="207"/>
      <w:r>
        <w:rPr>
          <w:rFonts w:hint="eastAsia" w:ascii="宋体" w:hAnsi="宋体" w:eastAsia="宋体" w:cs="宋体"/>
          <w:color w:val="000000" w:themeColor="text1"/>
          <w:sz w:val="24"/>
          <w:szCs w:val="24"/>
          <w:highlight w:val="white"/>
        </w:rPr>
        <w:t>(¥</w:t>
      </w:r>
      <w:bookmarkStart w:id="208" w:name="EBaefec60cf75049d98b9cf7bf4bead43f"/>
      <w:r>
        <w:rPr>
          <w:rFonts w:hint="eastAsia" w:ascii="宋体" w:hAnsi="宋体" w:eastAsia="宋体" w:cs="宋体"/>
          <w:color w:val="000000" w:themeColor="text1"/>
          <w:sz w:val="24"/>
          <w:szCs w:val="24"/>
          <w:highlight w:val="white"/>
        </w:rPr>
        <w:t xml:space="preserve">  </w:t>
      </w:r>
      <w:bookmarkEnd w:id="208"/>
      <w:r>
        <w:rPr>
          <w:rFonts w:hint="eastAsia" w:ascii="宋体" w:hAnsi="宋体" w:eastAsia="宋体" w:cs="宋体"/>
          <w:color w:val="000000" w:themeColor="text1"/>
          <w:sz w:val="24"/>
          <w:szCs w:val="24"/>
          <w:highlight w:val="white"/>
        </w:rPr>
        <w:t>)元）。</w:t>
      </w:r>
    </w:p>
    <w:p>
      <w:pPr>
        <w:spacing w:line="360" w:lineRule="auto"/>
        <w:ind w:firstLine="480" w:firstLineChars="200"/>
        <w:rPr>
          <w:rFonts w:ascii="宋体" w:hAnsi="宋体" w:eastAsia="宋体" w:cs="宋体"/>
          <w:color w:val="000000" w:themeColor="text1"/>
          <w:sz w:val="24"/>
          <w:szCs w:val="24"/>
        </w:rPr>
      </w:pPr>
      <w:r>
        <w:rPr>
          <w:rFonts w:hint="eastAsia" w:ascii="宋体" w:hAnsi="宋体" w:eastAsia="宋体" w:cs="宋体"/>
          <w:color w:val="000000" w:themeColor="text1"/>
          <w:sz w:val="24"/>
          <w:szCs w:val="24"/>
          <w:highlight w:val="white"/>
        </w:rPr>
        <w:t>2.合同价格形式：</w:t>
      </w:r>
    </w:p>
    <w:p>
      <w:pPr>
        <w:spacing w:line="360" w:lineRule="auto"/>
        <w:ind w:firstLine="480" w:firstLineChars="200"/>
        <w:rPr>
          <w:rFonts w:ascii="宋体" w:hAnsi="宋体" w:eastAsia="宋体" w:cs="宋体"/>
          <w:color w:val="000000" w:themeColor="text1"/>
          <w:sz w:val="24"/>
          <w:szCs w:val="24"/>
        </w:rPr>
      </w:pPr>
      <w:bookmarkStart w:id="209" w:name="EBa6919ee42634434e820a5bc6dcdfeb98"/>
      <w:r>
        <w:rPr>
          <w:rFonts w:hint="eastAsia" w:ascii="宋体" w:hAnsi="宋体" w:eastAsia="宋体" w:cs="宋体"/>
          <w:color w:val="000000" w:themeColor="text1"/>
          <w:sz w:val="24"/>
          <w:szCs w:val="24"/>
          <w:highlight w:val="white"/>
        </w:rPr>
        <w:t>固定单价合同</w:t>
      </w:r>
      <w:bookmarkEnd w:id="209"/>
      <w:r>
        <w:rPr>
          <w:rFonts w:hint="eastAsia" w:ascii="宋体" w:hAnsi="宋体" w:eastAsia="宋体" w:cs="宋体"/>
          <w:color w:val="000000" w:themeColor="text1"/>
          <w:sz w:val="24"/>
          <w:szCs w:val="24"/>
          <w:highlight w:val="white"/>
        </w:rPr>
        <w:t>。</w:t>
      </w:r>
    </w:p>
    <w:p>
      <w:pPr>
        <w:spacing w:line="360" w:lineRule="auto"/>
        <w:ind w:firstLine="480" w:firstLineChars="200"/>
        <w:rPr>
          <w:rFonts w:ascii="宋体" w:hAnsi="宋体" w:eastAsia="宋体" w:cs="宋体"/>
          <w:color w:val="000000" w:themeColor="text1"/>
          <w:sz w:val="24"/>
          <w:szCs w:val="24"/>
        </w:rPr>
      </w:pPr>
      <w:r>
        <w:rPr>
          <w:rFonts w:hint="eastAsia" w:ascii="宋体" w:hAnsi="宋体" w:eastAsia="宋体" w:cs="宋体"/>
          <w:color w:val="000000" w:themeColor="text1"/>
          <w:sz w:val="24"/>
          <w:szCs w:val="24"/>
          <w:highlight w:val="white"/>
        </w:rPr>
        <w:t>3.计税方式与计价模式：</w:t>
      </w:r>
      <w:bookmarkStart w:id="210" w:name="EBee38bfb34ff5497d988290f04f22a6ba"/>
      <w:r>
        <w:rPr>
          <w:rFonts w:hint="eastAsia" w:ascii="宋体" w:hAnsi="宋体" w:eastAsia="宋体" w:cs="宋体"/>
          <w:color w:val="000000" w:themeColor="text1"/>
          <w:sz w:val="24"/>
          <w:szCs w:val="24"/>
          <w:highlight w:val="white"/>
        </w:rPr>
        <w:t>采用一般计税法，综合单价计价。</w:t>
      </w:r>
      <w:bookmarkEnd w:id="210"/>
    </w:p>
    <w:p>
      <w:pPr>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highlight w:val="white"/>
        </w:rPr>
        <w:t>五、项目经理</w:t>
      </w:r>
    </w:p>
    <w:p>
      <w:pPr>
        <w:spacing w:line="360" w:lineRule="auto"/>
        <w:ind w:firstLine="480" w:firstLineChars="200"/>
        <w:rPr>
          <w:rFonts w:ascii="宋体" w:hAnsi="宋体" w:eastAsia="宋体" w:cs="宋体"/>
          <w:color w:val="000000" w:themeColor="text1"/>
          <w:sz w:val="24"/>
          <w:szCs w:val="24"/>
        </w:rPr>
      </w:pPr>
      <w:r>
        <w:rPr>
          <w:rFonts w:hint="eastAsia" w:ascii="宋体" w:hAnsi="宋体" w:eastAsia="宋体" w:cs="宋体"/>
          <w:color w:val="000000" w:themeColor="text1"/>
          <w:sz w:val="24"/>
          <w:szCs w:val="24"/>
          <w:highlight w:val="white"/>
        </w:rPr>
        <w:t>承包人项目经理</w:t>
      </w:r>
      <w:r>
        <w:rPr>
          <w:rFonts w:hint="eastAsia" w:ascii="宋体" w:hAnsi="宋体" w:eastAsia="宋体" w:cs="宋体"/>
          <w:color w:val="000000" w:themeColor="text1"/>
          <w:sz w:val="24"/>
          <w:szCs w:val="24"/>
          <w:highlight w:val="white"/>
          <w:u w:val="single"/>
        </w:rPr>
        <w:t>：</w:t>
      </w:r>
      <w:bookmarkStart w:id="211" w:name="EB5d9ed125c4c6409ca07c9ec1b471ee40"/>
      <w:r>
        <w:rPr>
          <w:rFonts w:hint="eastAsia" w:ascii="宋体" w:hAnsi="宋体" w:eastAsia="宋体" w:cs="宋体"/>
          <w:color w:val="000000" w:themeColor="text1"/>
          <w:sz w:val="24"/>
          <w:szCs w:val="24"/>
          <w:highlight w:val="white"/>
          <w:u w:val="single"/>
        </w:rPr>
        <w:t xml:space="preserve">        </w:t>
      </w:r>
      <w:bookmarkEnd w:id="211"/>
      <w:r>
        <w:rPr>
          <w:rFonts w:hint="eastAsia" w:ascii="宋体" w:hAnsi="宋体" w:eastAsia="宋体" w:cs="宋体"/>
          <w:color w:val="000000" w:themeColor="text1"/>
          <w:sz w:val="24"/>
          <w:szCs w:val="24"/>
          <w:highlight w:val="white"/>
        </w:rPr>
        <w:t>。</w:t>
      </w:r>
    </w:p>
    <w:p>
      <w:pPr>
        <w:rPr>
          <w:rFonts w:ascii="宋体" w:hAnsi="宋体" w:eastAsia="宋体" w:cs="宋体"/>
          <w:b/>
          <w:sz w:val="24"/>
          <w:szCs w:val="24"/>
        </w:rPr>
      </w:pPr>
      <w:r>
        <w:rPr>
          <w:rFonts w:hint="eastAsia" w:ascii="宋体" w:hAnsi="宋体" w:eastAsia="宋体" w:cs="宋体"/>
          <w:b/>
          <w:sz w:val="24"/>
          <w:szCs w:val="24"/>
          <w:highlight w:val="white"/>
        </w:rPr>
        <w:t>六、合同文件构成</w:t>
      </w:r>
    </w:p>
    <w:p>
      <w:pPr>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highlight w:val="white"/>
        </w:rPr>
        <w:t>本协议书与下列文件一起构成合同文件：</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（1）成交通知书（如果有）；</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 xml:space="preserve">（2）谈判函及其附录（如果有）； </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（3）专用合同条款及其附件；</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（4）通用合同条款；</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（5）技术标准和要求；</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（6）图纸；</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（7）已标价工程量清单或预算书；</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（8）其他合同文件。</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在合同订立及履行过程中形成的与合同有关的文件均构成合同文件组成部分。</w:t>
      </w:r>
    </w:p>
    <w:p>
      <w:pPr>
        <w:autoSpaceDE w:val="0"/>
        <w:autoSpaceDN w:val="0"/>
        <w:adjustRightIn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highlight w:val="white"/>
        </w:rPr>
        <w:t>上述各项合同文件包括合同当事人就该项合同文件所作出的补充和修改，属于同一类内容的文件，应以最新签署的为准。专用合同条款及其附件须经合同当事人签字或盖章。</w:t>
      </w:r>
    </w:p>
    <w:p>
      <w:pPr>
        <w:rPr>
          <w:rFonts w:ascii="宋体" w:hAnsi="宋体" w:eastAsia="宋体" w:cs="宋体"/>
          <w:b/>
          <w:sz w:val="24"/>
          <w:szCs w:val="24"/>
        </w:rPr>
      </w:pPr>
      <w:r>
        <w:rPr>
          <w:rFonts w:hint="eastAsia" w:ascii="宋体" w:hAnsi="宋体" w:eastAsia="宋体" w:cs="宋体"/>
          <w:b/>
          <w:sz w:val="24"/>
          <w:szCs w:val="24"/>
          <w:highlight w:val="white"/>
        </w:rPr>
        <w:t>七、承诺</w:t>
      </w:r>
    </w:p>
    <w:p>
      <w:pPr>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highlight w:val="white"/>
        </w:rPr>
        <w:t>1.发包人承诺按照法律规定履行项目审批手续、筹集工程建设资金并按照合同约定的期限和方式支付合同价款。</w:t>
      </w:r>
    </w:p>
    <w:p>
      <w:pPr>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highlight w:val="white"/>
        </w:rPr>
        <w:t>2.承包人承诺按照法律规定及合同约定组织完成工程施工，确保工程质量和安全，不进行转包及违法分包，并在缺陷责任期及保修期内承担相应的工程维修责任。</w:t>
      </w:r>
    </w:p>
    <w:p>
      <w:pPr>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highlight w:val="white"/>
        </w:rPr>
        <w:t>3.发包人和承包人通过招投标形式签订合同的，双方理解并承诺不再就同一工程另行签订与合同实质性内容相背离的协议。</w:t>
      </w:r>
    </w:p>
    <w:p>
      <w:pPr>
        <w:rPr>
          <w:rFonts w:ascii="宋体" w:hAnsi="宋体" w:eastAsia="宋体" w:cs="宋体"/>
          <w:b/>
          <w:sz w:val="24"/>
          <w:szCs w:val="24"/>
        </w:rPr>
      </w:pPr>
      <w:r>
        <w:rPr>
          <w:rFonts w:hint="eastAsia" w:ascii="宋体" w:hAnsi="宋体" w:eastAsia="宋体" w:cs="宋体"/>
          <w:b/>
          <w:sz w:val="24"/>
          <w:szCs w:val="24"/>
          <w:highlight w:val="white"/>
        </w:rPr>
        <w:t>八、词语含义</w:t>
      </w:r>
    </w:p>
    <w:p>
      <w:pPr>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highlight w:val="white"/>
        </w:rPr>
        <w:t>本协议书中词语含义与第二部分通用合同条款中赋予的含义相同。</w:t>
      </w:r>
    </w:p>
    <w:p>
      <w:pPr>
        <w:rPr>
          <w:rFonts w:ascii="宋体" w:hAnsi="宋体" w:eastAsia="宋体" w:cs="宋体"/>
          <w:b/>
          <w:sz w:val="24"/>
          <w:szCs w:val="24"/>
        </w:rPr>
      </w:pPr>
      <w:r>
        <w:rPr>
          <w:rFonts w:hint="eastAsia" w:ascii="宋体" w:hAnsi="宋体" w:eastAsia="宋体" w:cs="宋体"/>
          <w:b/>
          <w:sz w:val="24"/>
          <w:szCs w:val="24"/>
          <w:highlight w:val="white"/>
        </w:rPr>
        <w:t>九、签订时间</w:t>
      </w:r>
    </w:p>
    <w:p>
      <w:pPr>
        <w:spacing w:line="360" w:lineRule="auto"/>
        <w:ind w:firstLine="480" w:firstLineChars="200"/>
        <w:rPr>
          <w:rFonts w:ascii="宋体" w:hAnsi="宋体" w:eastAsia="宋体" w:cs="宋体"/>
          <w:bCs/>
          <w:color w:val="000000" w:themeColor="text1"/>
          <w:sz w:val="24"/>
          <w:szCs w:val="24"/>
        </w:rPr>
      </w:pPr>
      <w:r>
        <w:rPr>
          <w:rFonts w:hint="eastAsia" w:ascii="宋体" w:hAnsi="宋体" w:eastAsia="宋体" w:cs="宋体"/>
          <w:bCs/>
          <w:color w:val="000000" w:themeColor="text1"/>
          <w:sz w:val="24"/>
          <w:szCs w:val="24"/>
          <w:highlight w:val="white"/>
        </w:rPr>
        <w:t>本合同于</w:t>
      </w:r>
      <w:bookmarkStart w:id="212" w:name="EB6b88a16bf6424b348db293d71bdb1dd0"/>
      <w:r>
        <w:rPr>
          <w:rFonts w:hint="eastAsia" w:ascii="宋体" w:hAnsi="宋体" w:eastAsia="宋体" w:cs="宋体"/>
          <w:bCs/>
          <w:color w:val="000000" w:themeColor="text1"/>
          <w:sz w:val="24"/>
          <w:szCs w:val="24"/>
          <w:highlight w:val="white"/>
        </w:rPr>
        <w:t xml:space="preserve">  </w:t>
      </w:r>
      <w:bookmarkEnd w:id="212"/>
      <w:r>
        <w:rPr>
          <w:rFonts w:hint="eastAsia" w:ascii="宋体" w:hAnsi="宋体" w:eastAsia="宋体" w:cs="宋体"/>
          <w:bCs/>
          <w:color w:val="000000" w:themeColor="text1"/>
          <w:sz w:val="24"/>
          <w:szCs w:val="24"/>
          <w:highlight w:val="white"/>
        </w:rPr>
        <w:t>签订。</w:t>
      </w:r>
    </w:p>
    <w:p>
      <w:pPr>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highlight w:val="white"/>
        </w:rPr>
        <w:t>十、签订地点</w:t>
      </w:r>
    </w:p>
    <w:p>
      <w:pPr>
        <w:spacing w:line="360" w:lineRule="auto"/>
        <w:ind w:firstLine="480" w:firstLineChars="200"/>
        <w:rPr>
          <w:rFonts w:ascii="宋体" w:hAnsi="宋体" w:eastAsia="宋体" w:cs="宋体"/>
          <w:bCs/>
          <w:color w:val="000000" w:themeColor="text1"/>
          <w:sz w:val="24"/>
          <w:szCs w:val="24"/>
        </w:rPr>
      </w:pPr>
      <w:r>
        <w:rPr>
          <w:rFonts w:hint="eastAsia" w:ascii="宋体" w:hAnsi="宋体" w:eastAsia="宋体" w:cs="宋体"/>
          <w:bCs/>
          <w:color w:val="000000" w:themeColor="text1"/>
          <w:sz w:val="24"/>
          <w:szCs w:val="24"/>
          <w:highlight w:val="white"/>
        </w:rPr>
        <w:t>本合同在</w:t>
      </w:r>
      <w:bookmarkStart w:id="213" w:name="EB5c8ad2d947604a3a80e214dda07a7ec5"/>
      <w:r>
        <w:rPr>
          <w:rFonts w:hint="eastAsia" w:ascii="宋体" w:hAnsi="宋体" w:eastAsia="宋体" w:cs="宋体"/>
          <w:bCs/>
          <w:color w:val="000000" w:themeColor="text1"/>
          <w:sz w:val="24"/>
          <w:szCs w:val="24"/>
          <w:highlight w:val="white"/>
        </w:rPr>
        <w:t>湖北宜昌长江三峡游轮中心开发有限公司</w:t>
      </w:r>
      <w:bookmarkEnd w:id="213"/>
      <w:r>
        <w:rPr>
          <w:rFonts w:hint="eastAsia" w:ascii="宋体" w:hAnsi="宋体" w:eastAsia="宋体" w:cs="宋体"/>
          <w:bCs/>
          <w:color w:val="000000" w:themeColor="text1"/>
          <w:sz w:val="24"/>
          <w:szCs w:val="24"/>
          <w:highlight w:val="white"/>
        </w:rPr>
        <w:t>签订。</w:t>
      </w:r>
    </w:p>
    <w:p>
      <w:pPr>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highlight w:val="white"/>
        </w:rPr>
        <w:t>十一、补充协议</w:t>
      </w:r>
    </w:p>
    <w:p>
      <w:pPr>
        <w:spacing w:line="360" w:lineRule="auto"/>
        <w:ind w:firstLine="480" w:firstLineChars="200"/>
        <w:rPr>
          <w:rFonts w:ascii="宋体" w:hAnsi="宋体" w:eastAsia="宋体" w:cs="宋体"/>
          <w:b/>
          <w:bCs/>
          <w:color w:val="000000" w:themeColor="text1"/>
          <w:sz w:val="24"/>
          <w:szCs w:val="24"/>
        </w:rPr>
      </w:pPr>
      <w:r>
        <w:rPr>
          <w:rFonts w:hint="eastAsia" w:ascii="宋体" w:hAnsi="宋体" w:eastAsia="宋体" w:cs="宋体"/>
          <w:bCs/>
          <w:color w:val="000000" w:themeColor="text1"/>
          <w:sz w:val="24"/>
          <w:szCs w:val="24"/>
          <w:highlight w:val="white"/>
        </w:rPr>
        <w:t>合同未尽事宜，合同当事人另行签订补充协议，补充协议是合同的组成部分。</w:t>
      </w:r>
    </w:p>
    <w:p>
      <w:pPr>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highlight w:val="white"/>
        </w:rPr>
        <w:t>十二、合同生效</w:t>
      </w:r>
    </w:p>
    <w:p>
      <w:pPr>
        <w:spacing w:line="360" w:lineRule="auto"/>
        <w:ind w:firstLine="480" w:firstLineChars="200"/>
        <w:rPr>
          <w:rFonts w:ascii="宋体" w:hAnsi="宋体" w:eastAsia="宋体" w:cs="宋体"/>
          <w:bCs/>
          <w:color w:val="000000" w:themeColor="text1"/>
          <w:sz w:val="24"/>
          <w:szCs w:val="24"/>
        </w:rPr>
      </w:pPr>
      <w:r>
        <w:rPr>
          <w:rFonts w:hint="eastAsia" w:ascii="宋体" w:hAnsi="宋体" w:eastAsia="宋体" w:cs="宋体"/>
          <w:bCs/>
          <w:color w:val="000000" w:themeColor="text1"/>
          <w:sz w:val="24"/>
          <w:szCs w:val="24"/>
          <w:highlight w:val="white"/>
        </w:rPr>
        <w:t>本合同自</w:t>
      </w:r>
      <w:bookmarkStart w:id="214" w:name="EB52359b74eaa043c3be0a744cb1b2dd5f"/>
      <w:r>
        <w:rPr>
          <w:rFonts w:hint="eastAsia" w:ascii="宋体" w:hAnsi="宋体" w:eastAsia="宋体" w:cs="宋体"/>
          <w:bCs/>
          <w:color w:val="000000" w:themeColor="text1"/>
          <w:sz w:val="24"/>
          <w:szCs w:val="24"/>
          <w:highlight w:val="white"/>
        </w:rPr>
        <w:t xml:space="preserve">  </w:t>
      </w:r>
      <w:bookmarkEnd w:id="214"/>
      <w:r>
        <w:rPr>
          <w:rFonts w:hint="eastAsia" w:ascii="宋体" w:hAnsi="宋体" w:eastAsia="宋体" w:cs="宋体"/>
          <w:bCs/>
          <w:color w:val="000000" w:themeColor="text1"/>
          <w:sz w:val="24"/>
          <w:szCs w:val="24"/>
          <w:highlight w:val="white"/>
        </w:rPr>
        <w:t>生效。</w:t>
      </w:r>
    </w:p>
    <w:p>
      <w:pPr>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highlight w:val="white"/>
        </w:rPr>
        <w:t>十三、合同份数</w:t>
      </w:r>
    </w:p>
    <w:p>
      <w:pPr>
        <w:spacing w:line="360" w:lineRule="auto"/>
        <w:ind w:firstLine="480" w:firstLineChars="200"/>
        <w:rPr>
          <w:bCs/>
          <w:color w:val="000000"/>
          <w:szCs w:val="21"/>
        </w:rPr>
      </w:pPr>
      <w:r>
        <w:rPr>
          <w:rFonts w:hint="eastAsia" w:ascii="宋体" w:hAnsi="宋体" w:eastAsia="宋体" w:cs="宋体"/>
          <w:bCs/>
          <w:color w:val="000000" w:themeColor="text1"/>
          <w:sz w:val="24"/>
          <w:szCs w:val="24"/>
          <w:highlight w:val="white"/>
        </w:rPr>
        <w:t>本合同一式</w:t>
      </w:r>
      <w:bookmarkStart w:id="215" w:name="EBfa212795b9c044629545e8d59689e5ea"/>
      <w:r>
        <w:rPr>
          <w:rFonts w:hint="eastAsia" w:ascii="宋体" w:hAnsi="宋体" w:eastAsia="宋体" w:cs="宋体"/>
          <w:bCs/>
          <w:color w:val="000000" w:themeColor="text1"/>
          <w:sz w:val="24"/>
          <w:szCs w:val="24"/>
          <w:highlight w:val="white"/>
        </w:rPr>
        <w:t>10</w:t>
      </w:r>
      <w:bookmarkEnd w:id="215"/>
      <w:r>
        <w:rPr>
          <w:rFonts w:hint="eastAsia" w:ascii="宋体" w:hAnsi="宋体" w:eastAsia="宋体" w:cs="宋体"/>
          <w:bCs/>
          <w:color w:val="000000" w:themeColor="text1"/>
          <w:sz w:val="24"/>
          <w:szCs w:val="24"/>
          <w:highlight w:val="white"/>
        </w:rPr>
        <w:t>份，均具有同等法律效力，发包人执</w:t>
      </w:r>
      <w:bookmarkStart w:id="216" w:name="EBd40c6fc66d3d43ce80b73c59c39b87b3"/>
      <w:r>
        <w:rPr>
          <w:rFonts w:hint="eastAsia" w:ascii="宋体" w:hAnsi="宋体" w:eastAsia="宋体" w:cs="宋体"/>
          <w:bCs/>
          <w:color w:val="000000" w:themeColor="text1"/>
          <w:sz w:val="24"/>
          <w:szCs w:val="24"/>
          <w:highlight w:val="white"/>
        </w:rPr>
        <w:t>6</w:t>
      </w:r>
      <w:bookmarkEnd w:id="216"/>
      <w:r>
        <w:rPr>
          <w:rFonts w:hint="eastAsia" w:ascii="宋体" w:hAnsi="宋体" w:eastAsia="宋体" w:cs="宋体"/>
          <w:bCs/>
          <w:color w:val="000000" w:themeColor="text1"/>
          <w:sz w:val="24"/>
          <w:szCs w:val="24"/>
          <w:highlight w:val="white"/>
        </w:rPr>
        <w:t>份，承包人执</w:t>
      </w:r>
      <w:bookmarkStart w:id="217" w:name="EB1097a0aec88e4cd6b826cf95423d3f4c"/>
      <w:r>
        <w:rPr>
          <w:rFonts w:hint="eastAsia" w:ascii="宋体" w:hAnsi="宋体" w:eastAsia="宋体" w:cs="宋体"/>
          <w:bCs/>
          <w:color w:val="000000" w:themeColor="text1"/>
          <w:sz w:val="24"/>
          <w:szCs w:val="24"/>
          <w:highlight w:val="white"/>
        </w:rPr>
        <w:t>4</w:t>
      </w:r>
      <w:bookmarkEnd w:id="217"/>
      <w:r>
        <w:rPr>
          <w:rFonts w:hint="eastAsia" w:ascii="宋体" w:hAnsi="宋体" w:eastAsia="宋体" w:cs="宋体"/>
          <w:bCs/>
          <w:color w:val="000000" w:themeColor="text1"/>
          <w:sz w:val="24"/>
          <w:szCs w:val="24"/>
          <w:highlight w:val="white"/>
        </w:rPr>
        <w:t>份。</w:t>
      </w:r>
    </w:p>
    <w:p>
      <w:pPr>
        <w:pStyle w:val="19"/>
        <w:tabs>
          <w:tab w:val="left" w:pos="3961"/>
          <w:tab w:val="left" w:pos="8096"/>
        </w:tabs>
        <w:spacing w:line="360" w:lineRule="auto"/>
        <w:ind w:left="-325" w:leftChars="-155" w:right="80" w:rightChars="38" w:firstLine="720" w:firstLineChars="300"/>
        <w:rPr>
          <w:rFonts w:ascii="宋体" w:hAnsi="宋体" w:cs="宋体"/>
          <w:sz w:val="24"/>
          <w:szCs w:val="24"/>
        </w:rPr>
      </w:pPr>
      <w:r>
        <w:rPr>
          <w:rFonts w:hint="eastAsia" w:ascii="宋体" w:hAnsi="宋体" w:cs="宋体"/>
          <w:sz w:val="24"/>
          <w:szCs w:val="24"/>
        </w:rPr>
        <w:t>甲方（盖章</w:t>
      </w:r>
      <w:r>
        <w:rPr>
          <w:rFonts w:hint="eastAsia" w:ascii="宋体" w:hAnsi="宋体" w:cs="宋体"/>
          <w:spacing w:val="-1"/>
          <w:sz w:val="24"/>
          <w:szCs w:val="24"/>
        </w:rPr>
        <w:t>）</w:t>
      </w:r>
      <w:r>
        <w:rPr>
          <w:rFonts w:hint="eastAsia" w:ascii="宋体" w:hAnsi="宋体" w:cs="宋体"/>
          <w:sz w:val="24"/>
          <w:szCs w:val="24"/>
          <w:u w:val="single"/>
        </w:rPr>
        <w:tab/>
      </w:r>
      <w:r>
        <w:rPr>
          <w:rFonts w:hint="eastAsia" w:ascii="宋体" w:hAnsi="宋体" w:cs="宋体"/>
          <w:sz w:val="24"/>
          <w:szCs w:val="24"/>
        </w:rPr>
        <w:t>乙方（盖章</w:t>
      </w:r>
      <w:r>
        <w:rPr>
          <w:rFonts w:hint="eastAsia" w:ascii="宋体" w:hAnsi="宋体" w:cs="宋体"/>
          <w:spacing w:val="-120"/>
          <w:sz w:val="24"/>
          <w:szCs w:val="24"/>
        </w:rPr>
        <w:t>）</w:t>
      </w:r>
      <w:r>
        <w:rPr>
          <w:rFonts w:hint="eastAsia" w:ascii="宋体" w:hAnsi="宋体" w:cs="宋体"/>
          <w:sz w:val="24"/>
          <w:szCs w:val="24"/>
        </w:rPr>
        <w:t>：</w:t>
      </w:r>
      <w:r>
        <w:rPr>
          <w:rFonts w:hint="eastAsia" w:ascii="宋体" w:hAnsi="宋体" w:cs="宋体"/>
          <w:sz w:val="24"/>
          <w:szCs w:val="24"/>
          <w:u w:val="single"/>
        </w:rPr>
        <w:tab/>
      </w:r>
    </w:p>
    <w:p>
      <w:pPr>
        <w:pStyle w:val="19"/>
        <w:tabs>
          <w:tab w:val="left" w:pos="3961"/>
          <w:tab w:val="left" w:pos="8096"/>
        </w:tabs>
        <w:spacing w:before="26" w:line="360" w:lineRule="auto"/>
        <w:ind w:left="-325" w:leftChars="-155" w:right="80" w:rightChars="38" w:firstLine="720" w:firstLineChars="300"/>
        <w:rPr>
          <w:rFonts w:ascii="宋体" w:hAnsi="宋体" w:cs="宋体"/>
          <w:sz w:val="24"/>
          <w:szCs w:val="24"/>
        </w:rPr>
      </w:pPr>
      <w:r>
        <w:rPr>
          <w:rFonts w:hint="eastAsia" w:ascii="宋体" w:hAnsi="宋体" w:cs="宋体"/>
          <w:sz w:val="24"/>
          <w:szCs w:val="24"/>
        </w:rPr>
        <w:t>委托代表人（签字</w:t>
      </w:r>
      <w:r>
        <w:rPr>
          <w:rFonts w:hint="eastAsia" w:ascii="宋体" w:hAnsi="宋体" w:cs="宋体"/>
          <w:spacing w:val="-120"/>
          <w:sz w:val="24"/>
          <w:szCs w:val="24"/>
        </w:rPr>
        <w:t>）</w:t>
      </w:r>
      <w:r>
        <w:rPr>
          <w:rFonts w:hint="eastAsia" w:ascii="宋体" w:hAnsi="宋体" w:cs="宋体"/>
          <w:sz w:val="24"/>
          <w:szCs w:val="24"/>
        </w:rPr>
        <w:t>：</w:t>
      </w:r>
      <w:r>
        <w:rPr>
          <w:rFonts w:hint="eastAsia" w:ascii="宋体" w:hAnsi="宋体" w:cs="宋体"/>
          <w:sz w:val="24"/>
          <w:szCs w:val="24"/>
          <w:u w:val="single"/>
        </w:rPr>
        <w:tab/>
      </w:r>
      <w:r>
        <w:rPr>
          <w:rFonts w:hint="eastAsia" w:ascii="宋体" w:hAnsi="宋体" w:cs="宋体"/>
          <w:sz w:val="24"/>
          <w:szCs w:val="24"/>
        </w:rPr>
        <w:t>委托代表人（签字</w:t>
      </w:r>
      <w:r>
        <w:rPr>
          <w:rFonts w:hint="eastAsia" w:ascii="宋体" w:hAnsi="宋体" w:cs="宋体"/>
          <w:spacing w:val="-120"/>
          <w:sz w:val="24"/>
          <w:szCs w:val="24"/>
        </w:rPr>
        <w:t>）</w:t>
      </w:r>
      <w:r>
        <w:rPr>
          <w:rFonts w:hint="eastAsia" w:ascii="宋体" w:hAnsi="宋体" w:cs="宋体"/>
          <w:sz w:val="24"/>
          <w:szCs w:val="24"/>
        </w:rPr>
        <w:t>：</w:t>
      </w:r>
      <w:r>
        <w:rPr>
          <w:rFonts w:hint="eastAsia" w:ascii="宋体" w:hAnsi="宋体" w:cs="宋体"/>
          <w:sz w:val="24"/>
          <w:szCs w:val="24"/>
          <w:u w:val="single"/>
        </w:rPr>
        <w:tab/>
      </w:r>
    </w:p>
    <w:p>
      <w:pPr>
        <w:pStyle w:val="19"/>
        <w:tabs>
          <w:tab w:val="left" w:pos="840"/>
          <w:tab w:val="left" w:pos="3961"/>
          <w:tab w:val="left" w:pos="4681"/>
          <w:tab w:val="left" w:pos="8096"/>
        </w:tabs>
        <w:spacing w:before="26" w:line="360" w:lineRule="auto"/>
        <w:ind w:left="-325" w:leftChars="-155" w:right="80" w:rightChars="38" w:firstLine="720" w:firstLineChars="300"/>
        <w:rPr>
          <w:rFonts w:ascii="宋体" w:hAnsi="宋体" w:cs="宋体"/>
          <w:sz w:val="24"/>
          <w:szCs w:val="24"/>
        </w:rPr>
      </w:pPr>
      <w:r>
        <w:rPr>
          <w:rFonts w:hint="eastAsia" w:ascii="宋体" w:hAnsi="宋体" w:cs="宋体"/>
          <w:sz w:val="24"/>
          <w:szCs w:val="24"/>
        </w:rPr>
        <w:t>电</w:t>
      </w:r>
      <w:r>
        <w:rPr>
          <w:rFonts w:hint="eastAsia" w:ascii="宋体" w:hAnsi="宋体" w:cs="宋体"/>
          <w:sz w:val="24"/>
          <w:szCs w:val="24"/>
        </w:rPr>
        <w:tab/>
      </w:r>
      <w:r>
        <w:rPr>
          <w:rFonts w:hint="eastAsia" w:ascii="宋体" w:hAnsi="宋体" w:cs="宋体"/>
          <w:sz w:val="24"/>
          <w:szCs w:val="24"/>
        </w:rPr>
        <w:t>话：</w:t>
      </w:r>
      <w:r>
        <w:rPr>
          <w:rFonts w:hint="eastAsia" w:ascii="宋体" w:hAnsi="宋体" w:cs="宋体"/>
          <w:sz w:val="24"/>
          <w:szCs w:val="24"/>
          <w:u w:val="single"/>
        </w:rPr>
        <w:tab/>
      </w:r>
      <w:r>
        <w:rPr>
          <w:rFonts w:hint="eastAsia" w:ascii="宋体" w:hAnsi="宋体" w:cs="宋体"/>
          <w:sz w:val="24"/>
          <w:szCs w:val="24"/>
        </w:rPr>
        <w:t>电</w:t>
      </w:r>
      <w:r>
        <w:rPr>
          <w:rFonts w:hint="eastAsia" w:ascii="宋体" w:hAnsi="宋体" w:cs="宋体"/>
          <w:sz w:val="24"/>
          <w:szCs w:val="24"/>
        </w:rPr>
        <w:tab/>
      </w:r>
      <w:r>
        <w:rPr>
          <w:rFonts w:hint="eastAsia" w:ascii="宋体" w:hAnsi="宋体" w:cs="宋体"/>
          <w:sz w:val="24"/>
          <w:szCs w:val="24"/>
        </w:rPr>
        <w:t>话：</w:t>
      </w:r>
      <w:r>
        <w:rPr>
          <w:rFonts w:hint="eastAsia" w:ascii="宋体" w:hAnsi="宋体" w:cs="宋体"/>
          <w:sz w:val="24"/>
          <w:szCs w:val="24"/>
          <w:u w:val="single"/>
        </w:rPr>
        <w:tab/>
      </w:r>
    </w:p>
    <w:p>
      <w:pPr>
        <w:pStyle w:val="19"/>
        <w:tabs>
          <w:tab w:val="left" w:pos="840"/>
          <w:tab w:val="left" w:pos="3961"/>
          <w:tab w:val="left" w:pos="4681"/>
          <w:tab w:val="left" w:pos="8096"/>
        </w:tabs>
        <w:spacing w:before="26" w:line="360" w:lineRule="auto"/>
        <w:ind w:left="-325" w:leftChars="-155" w:right="80" w:rightChars="38" w:firstLine="720" w:firstLineChars="300"/>
        <w:rPr>
          <w:rFonts w:ascii="宋体" w:hAnsi="宋体" w:cs="宋体"/>
          <w:sz w:val="24"/>
          <w:szCs w:val="24"/>
        </w:rPr>
      </w:pPr>
      <w:r>
        <w:rPr>
          <w:rFonts w:hint="eastAsia" w:ascii="宋体" w:hAnsi="宋体" w:cs="宋体"/>
          <w:sz w:val="24"/>
          <w:szCs w:val="24"/>
        </w:rPr>
        <w:t>地</w:t>
      </w:r>
      <w:r>
        <w:rPr>
          <w:rFonts w:hint="eastAsia" w:ascii="宋体" w:hAnsi="宋体" w:cs="宋体"/>
          <w:sz w:val="24"/>
          <w:szCs w:val="24"/>
        </w:rPr>
        <w:tab/>
      </w:r>
      <w:r>
        <w:rPr>
          <w:rFonts w:hint="eastAsia" w:ascii="宋体" w:hAnsi="宋体" w:cs="宋体"/>
          <w:sz w:val="24"/>
          <w:szCs w:val="24"/>
        </w:rPr>
        <w:t>址：</w:t>
      </w:r>
      <w:r>
        <w:rPr>
          <w:rFonts w:hint="eastAsia" w:ascii="宋体" w:hAnsi="宋体" w:cs="宋体"/>
          <w:sz w:val="24"/>
          <w:szCs w:val="24"/>
          <w:u w:val="single"/>
        </w:rPr>
        <w:tab/>
      </w:r>
      <w:r>
        <w:rPr>
          <w:rFonts w:hint="eastAsia" w:ascii="宋体" w:hAnsi="宋体" w:cs="宋体"/>
          <w:sz w:val="24"/>
          <w:szCs w:val="24"/>
        </w:rPr>
        <w:t>地</w:t>
      </w:r>
      <w:r>
        <w:rPr>
          <w:rFonts w:hint="eastAsia" w:ascii="宋体" w:hAnsi="宋体" w:cs="宋体"/>
          <w:sz w:val="24"/>
          <w:szCs w:val="24"/>
        </w:rPr>
        <w:tab/>
      </w:r>
      <w:r>
        <w:rPr>
          <w:rFonts w:hint="eastAsia" w:ascii="宋体" w:hAnsi="宋体" w:cs="宋体"/>
          <w:sz w:val="24"/>
          <w:szCs w:val="24"/>
        </w:rPr>
        <w:t>址：</w:t>
      </w:r>
      <w:r>
        <w:rPr>
          <w:rFonts w:hint="eastAsia" w:ascii="宋体" w:hAnsi="宋体" w:cs="宋体"/>
          <w:sz w:val="24"/>
          <w:szCs w:val="24"/>
          <w:u w:val="single"/>
        </w:rPr>
        <w:tab/>
      </w:r>
    </w:p>
    <w:p>
      <w:pPr>
        <w:pStyle w:val="19"/>
        <w:tabs>
          <w:tab w:val="left" w:pos="3961"/>
          <w:tab w:val="left" w:pos="8096"/>
        </w:tabs>
        <w:spacing w:before="26" w:line="360" w:lineRule="auto"/>
        <w:ind w:left="-325" w:leftChars="-155" w:right="80" w:rightChars="38" w:firstLine="720" w:firstLineChars="300"/>
        <w:rPr>
          <w:rFonts w:ascii="宋体" w:hAnsi="宋体" w:cs="宋体"/>
          <w:sz w:val="24"/>
          <w:szCs w:val="24"/>
        </w:rPr>
      </w:pPr>
      <w:r>
        <w:rPr>
          <w:rFonts w:hint="eastAsia" w:ascii="宋体" w:hAnsi="宋体" w:cs="宋体"/>
          <w:sz w:val="24"/>
          <w:szCs w:val="24"/>
        </w:rPr>
        <w:t>开户 行：</w:t>
      </w:r>
      <w:r>
        <w:rPr>
          <w:rFonts w:hint="eastAsia" w:ascii="宋体" w:hAnsi="宋体" w:cs="宋体"/>
          <w:sz w:val="24"/>
          <w:szCs w:val="24"/>
          <w:u w:val="single"/>
        </w:rPr>
        <w:tab/>
      </w:r>
      <w:r>
        <w:rPr>
          <w:rFonts w:hint="eastAsia" w:ascii="宋体" w:hAnsi="宋体" w:cs="宋体"/>
          <w:sz w:val="24"/>
          <w:szCs w:val="24"/>
        </w:rPr>
        <w:t>开 户 行：</w:t>
      </w:r>
      <w:r>
        <w:rPr>
          <w:rFonts w:hint="eastAsia" w:ascii="宋体" w:hAnsi="宋体" w:cs="宋体"/>
          <w:sz w:val="24"/>
          <w:szCs w:val="24"/>
          <w:u w:val="single"/>
        </w:rPr>
        <w:tab/>
      </w:r>
    </w:p>
    <w:p>
      <w:pPr>
        <w:pStyle w:val="19"/>
        <w:tabs>
          <w:tab w:val="left" w:pos="840"/>
          <w:tab w:val="left" w:pos="3961"/>
          <w:tab w:val="left" w:pos="4681"/>
          <w:tab w:val="left" w:pos="8096"/>
        </w:tabs>
        <w:spacing w:before="26" w:line="360" w:lineRule="auto"/>
        <w:ind w:left="-325" w:leftChars="-155" w:right="80" w:rightChars="38" w:firstLine="720" w:firstLineChars="300"/>
        <w:rPr>
          <w:rFonts w:ascii="宋体" w:hAnsi="宋体" w:cs="宋体"/>
          <w:sz w:val="24"/>
          <w:szCs w:val="24"/>
        </w:rPr>
      </w:pPr>
      <w:r>
        <w:rPr>
          <w:rFonts w:hint="eastAsia" w:ascii="宋体" w:hAnsi="宋体" w:cs="宋体"/>
          <w:sz w:val="24"/>
          <w:szCs w:val="24"/>
        </w:rPr>
        <w:t>帐</w:t>
      </w:r>
      <w:r>
        <w:rPr>
          <w:rFonts w:hint="eastAsia" w:ascii="宋体" w:hAnsi="宋体" w:cs="宋体"/>
          <w:sz w:val="24"/>
          <w:szCs w:val="24"/>
        </w:rPr>
        <w:tab/>
      </w:r>
      <w:r>
        <w:rPr>
          <w:rFonts w:hint="eastAsia" w:ascii="宋体" w:hAnsi="宋体" w:cs="宋体"/>
          <w:sz w:val="24"/>
          <w:szCs w:val="24"/>
        </w:rPr>
        <w:t>号：</w:t>
      </w:r>
      <w:r>
        <w:rPr>
          <w:rFonts w:hint="eastAsia" w:ascii="宋体" w:hAnsi="宋体" w:cs="宋体"/>
          <w:sz w:val="24"/>
          <w:szCs w:val="24"/>
          <w:u w:val="single"/>
        </w:rPr>
        <w:tab/>
      </w:r>
      <w:r>
        <w:rPr>
          <w:rFonts w:hint="eastAsia" w:ascii="宋体" w:hAnsi="宋体" w:cs="宋体"/>
          <w:sz w:val="24"/>
          <w:szCs w:val="24"/>
        </w:rPr>
        <w:t>帐</w:t>
      </w:r>
      <w:r>
        <w:rPr>
          <w:rFonts w:hint="eastAsia" w:ascii="宋体" w:hAnsi="宋体" w:cs="宋体"/>
          <w:sz w:val="24"/>
          <w:szCs w:val="24"/>
        </w:rPr>
        <w:tab/>
      </w:r>
      <w:r>
        <w:rPr>
          <w:rFonts w:hint="eastAsia" w:ascii="宋体" w:hAnsi="宋体" w:cs="宋体"/>
          <w:sz w:val="24"/>
          <w:szCs w:val="24"/>
        </w:rPr>
        <w:t>号：</w:t>
      </w:r>
      <w:r>
        <w:rPr>
          <w:rFonts w:hint="eastAsia" w:ascii="宋体" w:hAnsi="宋体" w:cs="宋体"/>
          <w:sz w:val="24"/>
          <w:szCs w:val="24"/>
          <w:u w:val="single"/>
        </w:rPr>
        <w:tab/>
      </w:r>
    </w:p>
    <w:p>
      <w:pPr>
        <w:pStyle w:val="19"/>
        <w:tabs>
          <w:tab w:val="left" w:pos="840"/>
          <w:tab w:val="left" w:pos="3961"/>
          <w:tab w:val="left" w:pos="4681"/>
          <w:tab w:val="left" w:pos="8173"/>
        </w:tabs>
        <w:spacing w:before="27" w:line="360" w:lineRule="auto"/>
        <w:ind w:left="-325" w:leftChars="-155" w:right="80" w:rightChars="38" w:firstLine="720" w:firstLineChars="300"/>
        <w:rPr>
          <w:rFonts w:ascii="宋体" w:hAnsi="宋体"/>
          <w:b/>
          <w:color w:val="000000"/>
          <w:kern w:val="0"/>
          <w:sz w:val="32"/>
          <w:szCs w:val="32"/>
        </w:rPr>
      </w:pPr>
      <w:r>
        <w:rPr>
          <w:rFonts w:hint="eastAsia" w:ascii="宋体" w:hAnsi="宋体" w:cs="宋体"/>
          <w:sz w:val="24"/>
          <w:szCs w:val="24"/>
        </w:rPr>
        <w:t>日</w:t>
      </w:r>
      <w:r>
        <w:rPr>
          <w:rFonts w:hint="eastAsia" w:ascii="宋体" w:hAnsi="宋体" w:cs="宋体"/>
          <w:sz w:val="24"/>
          <w:szCs w:val="24"/>
        </w:rPr>
        <w:tab/>
      </w:r>
      <w:r>
        <w:rPr>
          <w:rFonts w:hint="eastAsia" w:ascii="宋体" w:hAnsi="宋体" w:cs="宋体"/>
          <w:sz w:val="24"/>
          <w:szCs w:val="24"/>
        </w:rPr>
        <w:t>期：</w:t>
      </w:r>
      <w:r>
        <w:rPr>
          <w:rFonts w:hint="eastAsia" w:ascii="宋体" w:hAnsi="宋体" w:cs="宋体"/>
          <w:sz w:val="24"/>
          <w:szCs w:val="24"/>
          <w:u w:val="single"/>
        </w:rPr>
        <w:tab/>
      </w:r>
      <w:r>
        <w:rPr>
          <w:rFonts w:hint="eastAsia" w:ascii="宋体" w:hAnsi="宋体" w:cs="宋体"/>
          <w:sz w:val="24"/>
          <w:szCs w:val="24"/>
        </w:rPr>
        <w:t>日</w:t>
      </w:r>
      <w:r>
        <w:rPr>
          <w:rFonts w:hint="eastAsia" w:ascii="宋体" w:hAnsi="宋体" w:cs="宋体"/>
          <w:sz w:val="24"/>
          <w:szCs w:val="24"/>
        </w:rPr>
        <w:tab/>
      </w:r>
      <w:r>
        <w:rPr>
          <w:rFonts w:hint="eastAsia" w:ascii="宋体" w:hAnsi="宋体" w:cs="宋体"/>
          <w:sz w:val="24"/>
          <w:szCs w:val="24"/>
        </w:rPr>
        <w:t>期：</w:t>
      </w:r>
      <w:r>
        <w:rPr>
          <w:rFonts w:hint="eastAsia" w:ascii="宋体" w:hAnsi="宋体" w:cs="宋体"/>
          <w:sz w:val="24"/>
          <w:szCs w:val="24"/>
          <w:u w:val="single"/>
        </w:rPr>
        <w:tab/>
      </w:r>
    </w:p>
    <w:p>
      <w:pPr>
        <w:pStyle w:val="6"/>
        <w:rPr>
          <w:rFonts w:ascii="宋体" w:hAnsi="宋体" w:eastAsia="宋体" w:cs="宋体"/>
          <w:sz w:val="24"/>
          <w:szCs w:val="24"/>
        </w:rPr>
      </w:pPr>
      <w:bookmarkStart w:id="218" w:name="_Toc56585866"/>
      <w:bookmarkStart w:id="219" w:name="_Toc11442"/>
      <w:bookmarkStart w:id="220" w:name="_Toc530819756"/>
      <w:bookmarkStart w:id="221" w:name="_Toc518046920"/>
      <w:bookmarkStart w:id="222" w:name="_Toc519082760"/>
      <w:bookmarkStart w:id="223" w:name="_Toc518049637"/>
      <w:r>
        <w:rPr>
          <w:rFonts w:hint="eastAsia" w:ascii="宋体" w:hAnsi="宋体" w:eastAsia="宋体" w:cs="宋体"/>
          <w:sz w:val="24"/>
          <w:szCs w:val="24"/>
        </w:rPr>
        <w:t>第三节 专用条款</w:t>
      </w:r>
      <w:bookmarkEnd w:id="218"/>
      <w:bookmarkEnd w:id="219"/>
    </w:p>
    <w:p>
      <w:pPr>
        <w:rPr>
          <w:highlight w:val="red"/>
        </w:rPr>
      </w:pPr>
    </w:p>
    <w:p>
      <w:pPr>
        <w:pStyle w:val="101"/>
        <w:spacing w:line="460" w:lineRule="exact"/>
        <w:ind w:firstLine="480" w:firstLineChars="200"/>
        <w:rPr>
          <w:rFonts w:ascii="宋体" w:hAnsi="宋体" w:cs="宋体"/>
          <w:sz w:val="24"/>
        </w:rPr>
      </w:pPr>
      <w:r>
        <w:rPr>
          <w:rFonts w:hint="eastAsia" w:ascii="宋体" w:hAnsi="宋体" w:cs="宋体"/>
          <w:sz w:val="24"/>
        </w:rPr>
        <w:t xml:space="preserve">1. 一般约定 </w:t>
      </w:r>
    </w:p>
    <w:p>
      <w:pPr>
        <w:pStyle w:val="101"/>
        <w:spacing w:line="460" w:lineRule="exact"/>
        <w:ind w:firstLine="480" w:firstLineChars="200"/>
        <w:outlineLvl w:val="0"/>
        <w:rPr>
          <w:rFonts w:ascii="宋体" w:hAnsi="宋体" w:cs="宋体"/>
          <w:sz w:val="24"/>
        </w:rPr>
      </w:pPr>
      <w:bookmarkStart w:id="224" w:name="_Toc21906"/>
      <w:bookmarkStart w:id="225" w:name="_Toc2225"/>
      <w:bookmarkStart w:id="226" w:name="_Toc3963"/>
      <w:bookmarkStart w:id="227" w:name="_Toc3882"/>
      <w:bookmarkStart w:id="228" w:name="_Toc17032"/>
      <w:bookmarkStart w:id="229" w:name="_Toc817"/>
      <w:bookmarkStart w:id="230" w:name="_Toc15530"/>
      <w:bookmarkStart w:id="231" w:name="_Toc2679"/>
      <w:r>
        <w:rPr>
          <w:rFonts w:hint="eastAsia" w:ascii="宋体" w:hAnsi="宋体" w:cs="宋体"/>
          <w:sz w:val="24"/>
        </w:rPr>
        <w:t>1.1 词语定义</w:t>
      </w:r>
      <w:bookmarkEnd w:id="224"/>
      <w:bookmarkEnd w:id="225"/>
      <w:bookmarkEnd w:id="226"/>
      <w:bookmarkEnd w:id="227"/>
      <w:bookmarkEnd w:id="228"/>
      <w:bookmarkEnd w:id="229"/>
      <w:bookmarkEnd w:id="230"/>
      <w:bookmarkEnd w:id="231"/>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1.1.1合同 </w:t>
      </w:r>
    </w:p>
    <w:p>
      <w:pPr>
        <w:pStyle w:val="101"/>
        <w:spacing w:line="460" w:lineRule="exact"/>
        <w:ind w:firstLine="480" w:firstLineChars="200"/>
        <w:rPr>
          <w:rFonts w:ascii="宋体" w:hAnsi="宋体" w:cs="宋体"/>
          <w:sz w:val="24"/>
        </w:rPr>
      </w:pPr>
      <w:r>
        <w:rPr>
          <w:rFonts w:hint="eastAsia" w:ascii="宋体" w:hAnsi="宋体" w:cs="宋体"/>
          <w:sz w:val="24"/>
        </w:rPr>
        <w:t>1.1.1.10其他合同文件包括：</w:t>
      </w:r>
      <w:r>
        <w:rPr>
          <w:rFonts w:hint="eastAsia" w:ascii="宋体" w:hAnsi="宋体" w:cs="宋体"/>
          <w:sz w:val="24"/>
          <w:u w:val="single"/>
        </w:rPr>
        <w:t>合同协议书；成交通知书；专用合同条款及其附件；通用合同条款；合同谈判纪要；谈判文件（含工程量清单及答疑纪要）；标准、规范及有关技术文件；图纸；承包人响应文件谈判报价一览表及附录、响应文件其它内容；其它合同文件。</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232" w:name="_Toc205"/>
      <w:bookmarkStart w:id="233" w:name="_Toc23720"/>
      <w:bookmarkStart w:id="234" w:name="_Toc17127"/>
      <w:bookmarkStart w:id="235" w:name="_Toc25228"/>
      <w:bookmarkStart w:id="236" w:name="_Toc22663"/>
      <w:bookmarkStart w:id="237" w:name="_Toc17631"/>
      <w:bookmarkStart w:id="238" w:name="_Toc28756"/>
      <w:bookmarkStart w:id="239" w:name="_Toc14958"/>
      <w:r>
        <w:rPr>
          <w:rFonts w:hint="eastAsia" w:ascii="宋体" w:hAnsi="宋体" w:cs="宋体"/>
          <w:sz w:val="24"/>
        </w:rPr>
        <w:t>1.1.2 合同当事人及其他相关方</w:t>
      </w:r>
      <w:bookmarkEnd w:id="232"/>
      <w:bookmarkEnd w:id="233"/>
      <w:bookmarkEnd w:id="234"/>
      <w:bookmarkEnd w:id="235"/>
      <w:bookmarkEnd w:id="236"/>
      <w:bookmarkEnd w:id="237"/>
      <w:bookmarkEnd w:id="238"/>
      <w:bookmarkEnd w:id="239"/>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1.1.2.4监理人： </w:t>
      </w:r>
    </w:p>
    <w:p>
      <w:pPr>
        <w:pStyle w:val="101"/>
        <w:spacing w:line="460" w:lineRule="exact"/>
        <w:ind w:firstLine="480" w:firstLineChars="200"/>
        <w:outlineLvl w:val="0"/>
        <w:rPr>
          <w:rFonts w:ascii="宋体" w:hAnsi="宋体" w:cs="宋体"/>
          <w:sz w:val="24"/>
        </w:rPr>
      </w:pPr>
      <w:bookmarkStart w:id="240" w:name="_Toc18740"/>
      <w:bookmarkStart w:id="241" w:name="_Toc3912"/>
      <w:bookmarkStart w:id="242" w:name="_Toc28132"/>
      <w:bookmarkStart w:id="243" w:name="_Toc14193"/>
      <w:bookmarkStart w:id="244" w:name="_Toc10041"/>
      <w:bookmarkStart w:id="245" w:name="_Toc3023"/>
      <w:bookmarkStart w:id="246" w:name="_Toc18511"/>
      <w:bookmarkStart w:id="247" w:name="_Toc14247"/>
      <w:r>
        <w:rPr>
          <w:rFonts w:hint="eastAsia" w:ascii="宋体" w:hAnsi="宋体" w:cs="宋体"/>
          <w:sz w:val="24"/>
        </w:rPr>
        <w:t>1.1.3 工程和设备</w:t>
      </w:r>
      <w:bookmarkEnd w:id="240"/>
      <w:bookmarkEnd w:id="241"/>
      <w:bookmarkEnd w:id="242"/>
      <w:bookmarkEnd w:id="243"/>
      <w:bookmarkEnd w:id="244"/>
      <w:bookmarkEnd w:id="245"/>
      <w:bookmarkEnd w:id="246"/>
      <w:bookmarkEnd w:id="247"/>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1.1.3.7 作为施工现场组成部分的其他场所包括：</w:t>
      </w:r>
      <w:r>
        <w:rPr>
          <w:rFonts w:hint="eastAsia" w:ascii="宋体" w:hAnsi="宋体" w:cs="宋体"/>
          <w:sz w:val="24"/>
          <w:u w:val="single"/>
        </w:rPr>
        <w:t>发包人提供的其它施工场地。</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1.1.3.9 永久占地包括：</w:t>
      </w:r>
      <w:r>
        <w:rPr>
          <w:rFonts w:hint="eastAsia" w:ascii="宋体" w:hAnsi="宋体" w:cs="宋体"/>
          <w:sz w:val="24"/>
          <w:u w:val="single"/>
        </w:rPr>
        <w:t>按照设计图纸确定。</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1.1.3.10 临时占地包括：</w:t>
      </w:r>
      <w:r>
        <w:rPr>
          <w:rFonts w:hint="eastAsia" w:ascii="宋体" w:hAnsi="宋体" w:cs="宋体"/>
          <w:sz w:val="24"/>
          <w:u w:val="single"/>
        </w:rPr>
        <w:t>本项目规划红线范围内的用地。</w:t>
      </w:r>
      <w:r>
        <w:rPr>
          <w:rFonts w:hint="eastAsia" w:ascii="宋体" w:hAnsi="宋体" w:cs="宋体"/>
          <w:sz w:val="24"/>
        </w:rPr>
        <w:t xml:space="preserve">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由承包人根据施工组织设计自行安排，规划红线范围外需临时占地的由承包人自行办理相关手续后方可使用，费用已包含在合同价格中。</w:t>
      </w:r>
    </w:p>
    <w:p>
      <w:pPr>
        <w:pStyle w:val="101"/>
        <w:spacing w:line="460" w:lineRule="exact"/>
        <w:ind w:firstLine="480" w:firstLineChars="200"/>
        <w:outlineLvl w:val="0"/>
        <w:rPr>
          <w:rFonts w:ascii="宋体" w:hAnsi="宋体" w:cs="宋体"/>
          <w:sz w:val="24"/>
        </w:rPr>
      </w:pPr>
      <w:bookmarkStart w:id="248" w:name="_Toc4074"/>
      <w:bookmarkStart w:id="249" w:name="_Toc14654"/>
      <w:bookmarkStart w:id="250" w:name="_Toc13850"/>
      <w:bookmarkStart w:id="251" w:name="_Toc18519"/>
      <w:bookmarkStart w:id="252" w:name="_Toc9570"/>
      <w:bookmarkStart w:id="253" w:name="_Toc16595"/>
      <w:bookmarkStart w:id="254" w:name="_Toc17695"/>
      <w:bookmarkStart w:id="255" w:name="_Toc14286"/>
      <w:r>
        <w:rPr>
          <w:rFonts w:hint="eastAsia" w:ascii="宋体" w:hAnsi="宋体" w:cs="宋体"/>
          <w:sz w:val="24"/>
        </w:rPr>
        <w:t>1.1.6其它</w:t>
      </w:r>
      <w:bookmarkEnd w:id="248"/>
      <w:bookmarkEnd w:id="249"/>
      <w:bookmarkEnd w:id="250"/>
      <w:bookmarkEnd w:id="251"/>
      <w:bookmarkEnd w:id="252"/>
      <w:bookmarkEnd w:id="253"/>
      <w:bookmarkEnd w:id="254"/>
      <w:bookmarkEnd w:id="255"/>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1.1.6.2工程计量计价：</w:t>
      </w:r>
      <w:r>
        <w:rPr>
          <w:rFonts w:hint="eastAsia" w:ascii="宋体" w:hAnsi="宋体" w:cs="宋体"/>
          <w:sz w:val="24"/>
          <w:u w:val="single"/>
        </w:rPr>
        <w:t>《建设工程工程量清单计价规范》（GB50500-2013）、2018版相关配套定额。</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1.1.6.3 与谈判报价水平相一致：</w:t>
      </w:r>
      <w:r>
        <w:rPr>
          <w:rFonts w:hint="eastAsia" w:ascii="宋体" w:hAnsi="宋体" w:cs="宋体"/>
          <w:sz w:val="24"/>
          <w:u w:val="single"/>
        </w:rPr>
        <w:t>是指采用的工程造价计价依据相一致、人材机价格水平与投标报价水平相一致（如出现投标报价中未有材料，则以现场签证或参照同期建设主管部门发布的信息价为依据）、管理费及利润的优惠幅度（比例）相一致</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256" w:name="_Toc6132"/>
      <w:bookmarkStart w:id="257" w:name="_Toc1462"/>
      <w:bookmarkStart w:id="258" w:name="_Toc30595"/>
      <w:bookmarkStart w:id="259" w:name="_Toc21193"/>
      <w:bookmarkStart w:id="260" w:name="_Toc392"/>
      <w:bookmarkStart w:id="261" w:name="_Toc5796"/>
      <w:bookmarkStart w:id="262" w:name="_Toc7061"/>
      <w:bookmarkStart w:id="263" w:name="_Toc14965"/>
      <w:r>
        <w:rPr>
          <w:rFonts w:hint="eastAsia" w:ascii="宋体" w:hAnsi="宋体" w:cs="宋体"/>
          <w:sz w:val="24"/>
        </w:rPr>
        <w:t>1.3 法律</w:t>
      </w:r>
      <w:bookmarkEnd w:id="256"/>
      <w:bookmarkEnd w:id="257"/>
      <w:bookmarkEnd w:id="258"/>
      <w:bookmarkEnd w:id="259"/>
      <w:bookmarkEnd w:id="260"/>
      <w:bookmarkEnd w:id="261"/>
      <w:bookmarkEnd w:id="262"/>
      <w:bookmarkEnd w:id="263"/>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适用于合同的其他规范性文件：</w:t>
      </w:r>
      <w:r>
        <w:rPr>
          <w:rFonts w:hint="eastAsia" w:ascii="宋体" w:hAnsi="宋体" w:cs="宋体"/>
          <w:sz w:val="24"/>
          <w:u w:val="single"/>
        </w:rPr>
        <w:t>按通用条款规定及工程所在地的现行规范性文件执行。</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264" w:name="_Toc20226"/>
      <w:bookmarkStart w:id="265" w:name="_Toc14220"/>
      <w:bookmarkStart w:id="266" w:name="_Toc20811"/>
      <w:bookmarkStart w:id="267" w:name="_Toc10849"/>
      <w:bookmarkStart w:id="268" w:name="_Toc19645"/>
      <w:bookmarkStart w:id="269" w:name="_Toc23766"/>
      <w:bookmarkStart w:id="270" w:name="_Toc22784"/>
      <w:bookmarkStart w:id="271" w:name="_Toc11180"/>
      <w:r>
        <w:rPr>
          <w:rFonts w:hint="eastAsia" w:ascii="宋体" w:hAnsi="宋体" w:cs="宋体"/>
          <w:sz w:val="24"/>
        </w:rPr>
        <w:t>1.4 标准和规范</w:t>
      </w:r>
      <w:bookmarkEnd w:id="264"/>
      <w:bookmarkEnd w:id="265"/>
      <w:bookmarkEnd w:id="266"/>
      <w:bookmarkEnd w:id="267"/>
      <w:bookmarkEnd w:id="268"/>
      <w:bookmarkEnd w:id="269"/>
      <w:bookmarkEnd w:id="270"/>
      <w:bookmarkEnd w:id="271"/>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1.4.1 适用于工程的标准规范包括：</w:t>
      </w:r>
      <w:r>
        <w:rPr>
          <w:rFonts w:hint="eastAsia" w:ascii="宋体" w:hAnsi="宋体" w:cs="宋体"/>
          <w:sz w:val="24"/>
          <w:u w:val="single"/>
        </w:rPr>
        <w:t>按通用条款规定执行。自谈判截止时间28日之后由工程所在地建设行政主管部门发文实施的各类市政工程、房屋建筑消耗量定额及费用标准不适用于本合同。</w:t>
      </w:r>
    </w:p>
    <w:p>
      <w:pPr>
        <w:pStyle w:val="101"/>
        <w:spacing w:line="460" w:lineRule="exact"/>
        <w:ind w:firstLine="480" w:firstLineChars="200"/>
        <w:rPr>
          <w:rFonts w:ascii="宋体" w:hAnsi="宋体" w:cs="宋体"/>
          <w:sz w:val="24"/>
        </w:rPr>
      </w:pPr>
      <w:r>
        <w:rPr>
          <w:rFonts w:hint="eastAsia" w:ascii="宋体" w:hAnsi="宋体" w:cs="宋体"/>
          <w:sz w:val="24"/>
        </w:rPr>
        <w:t>1.4.2 发包人提供国外标准、规范的名称：</w:t>
      </w:r>
      <w:r>
        <w:rPr>
          <w:rFonts w:hint="eastAsia" w:ascii="宋体" w:hAnsi="宋体" w:cs="宋体"/>
          <w:sz w:val="24"/>
          <w:u w:val="single"/>
        </w:rPr>
        <w:t>发包人不提供，如有需要承包人自行购买。</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sz w:val="24"/>
          <w:u w:val="single"/>
        </w:rPr>
        <w:t>同通用条款。</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272" w:name="_Toc10201"/>
      <w:bookmarkStart w:id="273" w:name="_Toc11219"/>
      <w:bookmarkStart w:id="274" w:name="_Toc30550"/>
      <w:bookmarkStart w:id="275" w:name="_Toc5802"/>
      <w:bookmarkStart w:id="276" w:name="_Toc5199"/>
      <w:bookmarkStart w:id="277" w:name="_Toc25996"/>
      <w:bookmarkStart w:id="278" w:name="_Toc24831"/>
      <w:bookmarkStart w:id="279" w:name="_Toc26980"/>
      <w:r>
        <w:rPr>
          <w:rFonts w:hint="eastAsia" w:ascii="宋体" w:hAnsi="宋体" w:cs="宋体"/>
          <w:sz w:val="24"/>
        </w:rPr>
        <w:t>1.5 合同文件的优先顺序</w:t>
      </w:r>
      <w:bookmarkEnd w:id="272"/>
      <w:bookmarkEnd w:id="273"/>
      <w:bookmarkEnd w:id="274"/>
      <w:bookmarkEnd w:id="275"/>
      <w:bookmarkEnd w:id="276"/>
      <w:bookmarkEnd w:id="277"/>
      <w:bookmarkEnd w:id="278"/>
      <w:bookmarkEnd w:id="279"/>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合同文件组成及优先顺序为：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（1）合同协议书；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（2）中标通知书；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（3）专用合同条款及其附件；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（4）通用合同条款；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（5）合同谈判纪要；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（6）谈判文件（含工程量清单及答疑纪要）；合同谈判纪要；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（7）标准、规范及有关技术文件；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（8）图纸；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（9）承包人谈判响应文件及附录、投标文件其它内容； </w:t>
      </w:r>
    </w:p>
    <w:p>
      <w:pPr>
        <w:pStyle w:val="101"/>
        <w:spacing w:line="460" w:lineRule="exact"/>
        <w:ind w:firstLine="480" w:firstLineChars="200"/>
        <w:rPr>
          <w:rFonts w:ascii="宋体" w:hAnsi="宋体" w:cs="宋体"/>
          <w:sz w:val="24"/>
        </w:rPr>
      </w:pPr>
      <w:r>
        <w:rPr>
          <w:rFonts w:hint="eastAsia" w:ascii="宋体" w:hAnsi="宋体" w:cs="宋体"/>
          <w:sz w:val="24"/>
          <w:u w:val="single"/>
        </w:rPr>
        <w:t>（10）其它合同文件。</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280" w:name="_Toc9901"/>
      <w:bookmarkStart w:id="281" w:name="_Toc26213"/>
      <w:bookmarkStart w:id="282" w:name="_Toc5123"/>
      <w:bookmarkStart w:id="283" w:name="_Toc9822"/>
      <w:bookmarkStart w:id="284" w:name="_Toc10691"/>
      <w:bookmarkStart w:id="285" w:name="_Toc29678"/>
      <w:bookmarkStart w:id="286" w:name="_Toc6226"/>
      <w:bookmarkStart w:id="287" w:name="_Toc27728"/>
      <w:r>
        <w:rPr>
          <w:rFonts w:hint="eastAsia" w:ascii="宋体" w:hAnsi="宋体" w:cs="宋体"/>
          <w:sz w:val="24"/>
        </w:rPr>
        <w:t>1.6 图纸和承包人文件</w:t>
      </w:r>
      <w:bookmarkEnd w:id="280"/>
      <w:bookmarkEnd w:id="281"/>
      <w:bookmarkEnd w:id="282"/>
      <w:bookmarkEnd w:id="283"/>
      <w:bookmarkEnd w:id="284"/>
      <w:bookmarkEnd w:id="285"/>
      <w:bookmarkEnd w:id="286"/>
      <w:bookmarkEnd w:id="287"/>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288" w:name="_Toc15361"/>
      <w:bookmarkStart w:id="289" w:name="_Toc7740"/>
      <w:bookmarkStart w:id="290" w:name="_Toc30542"/>
      <w:bookmarkStart w:id="291" w:name="_Toc8233"/>
      <w:bookmarkStart w:id="292" w:name="_Toc5535"/>
      <w:bookmarkStart w:id="293" w:name="_Toc30284"/>
      <w:bookmarkStart w:id="294" w:name="_Toc394"/>
      <w:bookmarkStart w:id="295" w:name="_Toc7869"/>
      <w:r>
        <w:rPr>
          <w:rFonts w:hint="eastAsia" w:ascii="宋体" w:hAnsi="宋体" w:cs="宋体"/>
          <w:sz w:val="24"/>
        </w:rPr>
        <w:t>1.6.1 图纸的提供</w:t>
      </w:r>
      <w:bookmarkEnd w:id="288"/>
      <w:bookmarkEnd w:id="289"/>
      <w:bookmarkEnd w:id="290"/>
      <w:bookmarkEnd w:id="291"/>
      <w:bookmarkEnd w:id="292"/>
      <w:bookmarkEnd w:id="293"/>
      <w:bookmarkEnd w:id="294"/>
      <w:bookmarkEnd w:id="295"/>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开工日期前7天；</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三套（含施工图纸，不含标准图集）。承包人需要增加图纸套数的，需经发包人同意，所需费用由承包人自行承担。</w:t>
      </w:r>
    </w:p>
    <w:p>
      <w:pPr>
        <w:pStyle w:val="101"/>
        <w:spacing w:line="460" w:lineRule="exact"/>
        <w:ind w:firstLine="480" w:firstLineChars="200"/>
        <w:outlineLvl w:val="0"/>
        <w:rPr>
          <w:rFonts w:ascii="宋体" w:hAnsi="宋体" w:cs="宋体"/>
          <w:sz w:val="24"/>
        </w:rPr>
      </w:pPr>
      <w:bookmarkStart w:id="296" w:name="_Toc14037"/>
      <w:bookmarkStart w:id="297" w:name="_Toc18324"/>
      <w:bookmarkStart w:id="298" w:name="_Toc24109"/>
      <w:bookmarkStart w:id="299" w:name="_Toc11722"/>
      <w:bookmarkStart w:id="300" w:name="_Toc3682"/>
      <w:bookmarkStart w:id="301" w:name="_Toc26000"/>
      <w:bookmarkStart w:id="302" w:name="_Toc8973"/>
      <w:bookmarkStart w:id="303" w:name="_Toc7236"/>
      <w:r>
        <w:rPr>
          <w:rFonts w:hint="eastAsia" w:ascii="宋体" w:hAnsi="宋体" w:cs="宋体"/>
          <w:sz w:val="24"/>
        </w:rPr>
        <w:t>1.6.4 承包人文件</w:t>
      </w:r>
      <w:bookmarkEnd w:id="296"/>
      <w:bookmarkEnd w:id="297"/>
      <w:bookmarkEnd w:id="298"/>
      <w:bookmarkEnd w:id="299"/>
      <w:bookmarkEnd w:id="300"/>
      <w:bookmarkEnd w:id="301"/>
      <w:bookmarkEnd w:id="302"/>
      <w:bookmarkEnd w:id="303"/>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需要由承包人提供的文件，包括：</w:t>
      </w:r>
      <w:r>
        <w:rPr>
          <w:rFonts w:hint="eastAsia" w:ascii="宋体" w:hAnsi="宋体" w:cs="宋体"/>
          <w:sz w:val="24"/>
          <w:u w:val="single"/>
        </w:rPr>
        <w:t>投标文件四套（含投标光盘）、施工组织设计、工程进度计划、专项施工方案、专业暂估价工程或暂定材料的招标（询价）方案及招标（询价）文件、及其它在施工过程中需要承包人向发包人提供的文件。</w:t>
      </w:r>
    </w:p>
    <w:p>
      <w:pPr>
        <w:pStyle w:val="101"/>
        <w:spacing w:line="460" w:lineRule="exact"/>
        <w:ind w:firstLine="480" w:firstLineChars="200"/>
        <w:rPr>
          <w:rFonts w:ascii="宋体" w:hAnsi="宋体" w:cs="宋体"/>
          <w:sz w:val="24"/>
        </w:rPr>
      </w:pPr>
      <w:r>
        <w:rPr>
          <w:rFonts w:hint="eastAsia" w:ascii="宋体" w:hAnsi="宋体" w:cs="宋体"/>
          <w:sz w:val="24"/>
        </w:rPr>
        <w:t>应提供计划、报表的名称及完成时间：</w:t>
      </w:r>
      <w:r>
        <w:rPr>
          <w:rFonts w:hint="eastAsia" w:ascii="宋体" w:hAnsi="宋体" w:cs="宋体"/>
          <w:sz w:val="24"/>
          <w:u w:val="single"/>
        </w:rPr>
        <w:t>承包人应在开工前三天提交（经监理工程师认可的）本工程实施性施工组织设计、总进度计划、阶段性进度计划；计划按照本专用合同条款约定；当月 25 日前向监理工程师报送“工程进度月报表（当月完成工程量和次月进度计划）”和“计量支付申请书”，监理工程师在承包人提交后 7 日内确认；每周五上午向监理工程师提供周计划（当周完成计划和次周进度计划）。</w:t>
      </w:r>
    </w:p>
    <w:p>
      <w:pPr>
        <w:pStyle w:val="101"/>
        <w:spacing w:line="460" w:lineRule="exact"/>
        <w:ind w:firstLine="480" w:firstLineChars="200"/>
        <w:rPr>
          <w:rFonts w:ascii="宋体" w:hAnsi="宋体" w:cs="宋体"/>
          <w:sz w:val="24"/>
        </w:rPr>
      </w:pPr>
      <w:r>
        <w:rPr>
          <w:rFonts w:hint="eastAsia" w:ascii="宋体" w:hAnsi="宋体" w:cs="宋体"/>
          <w:sz w:val="24"/>
        </w:rPr>
        <w:t>承包人提供的文件的期限为：</w:t>
      </w:r>
      <w:r>
        <w:rPr>
          <w:rFonts w:hint="eastAsia" w:ascii="宋体" w:hAnsi="宋体" w:cs="宋体"/>
          <w:sz w:val="24"/>
          <w:u w:val="single"/>
        </w:rPr>
        <w:t xml:space="preserve">  开工前3天。  </w:t>
      </w:r>
    </w:p>
    <w:p>
      <w:pPr>
        <w:pStyle w:val="101"/>
        <w:spacing w:line="460" w:lineRule="exact"/>
        <w:ind w:firstLine="480" w:firstLineChars="200"/>
        <w:rPr>
          <w:rFonts w:ascii="宋体" w:hAnsi="宋体" w:cs="宋体"/>
          <w:sz w:val="24"/>
        </w:rPr>
      </w:pPr>
      <w:r>
        <w:rPr>
          <w:rFonts w:hint="eastAsia" w:ascii="宋体" w:hAnsi="宋体" w:cs="宋体"/>
          <w:sz w:val="24"/>
        </w:rPr>
        <w:t xml:space="preserve">承包人提供的文件的数量为： </w:t>
      </w:r>
      <w:r>
        <w:rPr>
          <w:rFonts w:hint="eastAsia" w:ascii="宋体" w:hAnsi="宋体" w:cs="宋体"/>
          <w:sz w:val="24"/>
          <w:u w:val="single"/>
        </w:rPr>
        <w:t xml:space="preserve"> 根据具体情况另行确定。</w:t>
      </w:r>
    </w:p>
    <w:p>
      <w:pPr>
        <w:pStyle w:val="101"/>
        <w:spacing w:line="460" w:lineRule="exact"/>
        <w:ind w:firstLine="480" w:firstLineChars="200"/>
        <w:rPr>
          <w:rFonts w:ascii="宋体" w:hAnsi="宋体" w:cs="宋体"/>
          <w:sz w:val="24"/>
          <w:u w:val="single"/>
        </w:rPr>
      </w:pPr>
      <w:r>
        <w:rPr>
          <w:rFonts w:hint="eastAsia" w:ascii="宋体" w:hAnsi="宋体" w:cs="宋体"/>
          <w:sz w:val="24"/>
        </w:rPr>
        <w:t xml:space="preserve">承包人提供的文件的形式为：  </w:t>
      </w:r>
      <w:r>
        <w:rPr>
          <w:rFonts w:hint="eastAsia" w:ascii="宋体" w:hAnsi="宋体" w:cs="宋体"/>
          <w:sz w:val="24"/>
          <w:u w:val="single"/>
        </w:rPr>
        <w:t>书面文件和电子文件。</w:t>
      </w:r>
    </w:p>
    <w:p>
      <w:pPr>
        <w:pStyle w:val="101"/>
        <w:spacing w:line="460" w:lineRule="exact"/>
        <w:ind w:firstLine="480" w:firstLineChars="200"/>
        <w:rPr>
          <w:rFonts w:ascii="宋体" w:hAnsi="宋体" w:cs="宋体"/>
          <w:sz w:val="24"/>
        </w:rPr>
      </w:pPr>
      <w:r>
        <w:rPr>
          <w:rFonts w:hint="eastAsia" w:ascii="宋体" w:hAnsi="宋体" w:cs="宋体"/>
          <w:sz w:val="24"/>
        </w:rPr>
        <w:t>发包人审批承包人文件的期限：</w:t>
      </w:r>
      <w:r>
        <w:rPr>
          <w:rFonts w:hint="eastAsia" w:ascii="宋体" w:hAnsi="宋体" w:cs="宋体"/>
          <w:sz w:val="24"/>
          <w:u w:val="single"/>
        </w:rPr>
        <w:t xml:space="preserve"> 收到承包人文件后7天内 。</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304" w:name="_Toc22961"/>
      <w:bookmarkStart w:id="305" w:name="_Toc8629"/>
      <w:bookmarkStart w:id="306" w:name="_Toc18098"/>
      <w:bookmarkStart w:id="307" w:name="_Toc26365"/>
      <w:bookmarkStart w:id="308" w:name="_Toc29422"/>
      <w:bookmarkStart w:id="309" w:name="_Toc3437"/>
      <w:bookmarkStart w:id="310" w:name="_Toc22333"/>
      <w:bookmarkStart w:id="311" w:name="_Toc30630"/>
      <w:r>
        <w:rPr>
          <w:rFonts w:hint="eastAsia" w:ascii="宋体" w:hAnsi="宋体" w:cs="宋体"/>
          <w:sz w:val="24"/>
        </w:rPr>
        <w:t xml:space="preserve">1.6.5 关于现场图纸准备的约定： </w:t>
      </w:r>
      <w:r>
        <w:rPr>
          <w:rFonts w:hint="eastAsia" w:ascii="宋体" w:hAnsi="宋体" w:cs="宋体"/>
          <w:sz w:val="24"/>
          <w:u w:val="single"/>
        </w:rPr>
        <w:t>承包人应在施工现场另外保存一套完整的图纸和承包人文件，供发包人、监理人及有关人员进行工程检查时使用。</w:t>
      </w:r>
      <w:bookmarkEnd w:id="304"/>
      <w:bookmarkEnd w:id="305"/>
      <w:bookmarkEnd w:id="306"/>
      <w:bookmarkEnd w:id="307"/>
      <w:bookmarkEnd w:id="308"/>
      <w:bookmarkEnd w:id="309"/>
      <w:bookmarkEnd w:id="310"/>
      <w:bookmarkEnd w:id="311"/>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312" w:name="_Toc9174"/>
      <w:bookmarkStart w:id="313" w:name="_Toc6518"/>
      <w:bookmarkStart w:id="314" w:name="_Toc12217"/>
      <w:bookmarkStart w:id="315" w:name="_Toc1004"/>
      <w:bookmarkStart w:id="316" w:name="_Toc26334"/>
      <w:bookmarkStart w:id="317" w:name="_Toc11943"/>
      <w:bookmarkStart w:id="318" w:name="_Toc22902"/>
      <w:bookmarkStart w:id="319" w:name="_Toc12266"/>
      <w:r>
        <w:rPr>
          <w:rFonts w:hint="eastAsia" w:ascii="宋体" w:hAnsi="宋体" w:cs="宋体"/>
          <w:sz w:val="24"/>
        </w:rPr>
        <w:t>1.7 联络</w:t>
      </w:r>
      <w:bookmarkEnd w:id="312"/>
      <w:bookmarkEnd w:id="313"/>
      <w:bookmarkEnd w:id="314"/>
      <w:bookmarkEnd w:id="315"/>
      <w:bookmarkEnd w:id="316"/>
      <w:bookmarkEnd w:id="317"/>
      <w:bookmarkEnd w:id="318"/>
      <w:bookmarkEnd w:id="319"/>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1.7.1发包人和承包人按通用条款执行并应当在7天内将与合同有关的通知、批准、证明、证书、指示、指令、要求、请求、同意、意见、确定和决定等书面函件送达对方当事人。 </w:t>
      </w:r>
    </w:p>
    <w:p>
      <w:pPr>
        <w:pStyle w:val="101"/>
        <w:spacing w:line="460" w:lineRule="exact"/>
        <w:ind w:firstLine="480" w:firstLineChars="200"/>
        <w:outlineLvl w:val="0"/>
        <w:rPr>
          <w:rFonts w:ascii="宋体" w:hAnsi="宋体" w:cs="宋体"/>
          <w:sz w:val="24"/>
        </w:rPr>
      </w:pPr>
      <w:bookmarkStart w:id="320" w:name="_Toc24609"/>
      <w:bookmarkStart w:id="321" w:name="_Toc9977"/>
      <w:bookmarkStart w:id="322" w:name="_Toc17449"/>
      <w:bookmarkStart w:id="323" w:name="_Toc23900"/>
      <w:bookmarkStart w:id="324" w:name="_Toc22724"/>
      <w:bookmarkStart w:id="325" w:name="_Toc22932"/>
      <w:bookmarkStart w:id="326" w:name="_Toc18404"/>
      <w:bookmarkStart w:id="327" w:name="_Toc4089"/>
      <w:r>
        <w:rPr>
          <w:rFonts w:hint="eastAsia" w:ascii="宋体" w:hAnsi="宋体" w:cs="宋体"/>
          <w:sz w:val="24"/>
        </w:rPr>
        <w:t>1.7.2 发包人接收文件的地点：</w:t>
      </w:r>
      <w:r>
        <w:rPr>
          <w:rFonts w:hint="eastAsia" w:ascii="宋体" w:hAnsi="宋体" w:cs="宋体"/>
          <w:sz w:val="24"/>
          <w:u w:val="single"/>
        </w:rPr>
        <w:t>发包人项目办公室</w:t>
      </w:r>
      <w:bookmarkEnd w:id="320"/>
      <w:bookmarkEnd w:id="321"/>
      <w:bookmarkEnd w:id="322"/>
      <w:bookmarkEnd w:id="323"/>
      <w:bookmarkEnd w:id="324"/>
      <w:bookmarkEnd w:id="325"/>
      <w:bookmarkEnd w:id="326"/>
      <w:bookmarkEnd w:id="327"/>
      <w:r>
        <w:rPr>
          <w:rFonts w:hint="eastAsia" w:ascii="宋体" w:hAnsi="宋体" w:cs="宋体"/>
          <w:sz w:val="24"/>
        </w:rPr>
        <w:t xml:space="preserve">  </w:t>
      </w:r>
    </w:p>
    <w:p>
      <w:pPr>
        <w:pStyle w:val="101"/>
        <w:spacing w:line="460" w:lineRule="exact"/>
        <w:ind w:firstLine="480" w:firstLineChars="200"/>
        <w:rPr>
          <w:rFonts w:ascii="宋体" w:hAnsi="宋体" w:cs="宋体"/>
          <w:sz w:val="24"/>
          <w:u w:val="single"/>
        </w:rPr>
      </w:pPr>
      <w:r>
        <w:rPr>
          <w:rFonts w:hint="eastAsia" w:ascii="宋体" w:hAnsi="宋体" w:cs="宋体"/>
          <w:sz w:val="24"/>
        </w:rPr>
        <w:t>发包人指定的接收人为：</w:t>
      </w:r>
      <w:r>
        <w:rPr>
          <w:rFonts w:hint="eastAsia" w:ascii="宋体" w:hAnsi="宋体" w:cs="宋体"/>
          <w:sz w:val="24"/>
          <w:u w:val="single"/>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承包人接收文件的地点：</w:t>
      </w:r>
      <w:r>
        <w:rPr>
          <w:rFonts w:hint="eastAsia" w:ascii="宋体" w:hAnsi="宋体" w:cs="宋体"/>
          <w:sz w:val="24"/>
          <w:u w:val="single"/>
        </w:rPr>
        <w:t>承包人项目办公室</w:t>
      </w:r>
    </w:p>
    <w:p>
      <w:pPr>
        <w:pStyle w:val="101"/>
        <w:spacing w:line="460" w:lineRule="exact"/>
        <w:ind w:firstLine="480" w:firstLineChars="200"/>
        <w:rPr>
          <w:rFonts w:ascii="宋体" w:hAnsi="宋体" w:cs="宋体"/>
          <w:sz w:val="24"/>
        </w:rPr>
      </w:pPr>
      <w:r>
        <w:rPr>
          <w:rFonts w:hint="eastAsia" w:ascii="宋体" w:hAnsi="宋体" w:cs="宋体"/>
          <w:sz w:val="24"/>
        </w:rPr>
        <w:t>承包人指定的接收人为：</w:t>
      </w:r>
      <w:r>
        <w:rPr>
          <w:rFonts w:hint="eastAsia" w:ascii="宋体" w:hAnsi="宋体" w:cs="宋体"/>
          <w:sz w:val="24"/>
          <w:u w:val="single"/>
        </w:rPr>
        <w:t xml:space="preserve">        </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328" w:name="_Toc11387"/>
      <w:bookmarkStart w:id="329" w:name="_Toc26700"/>
      <w:bookmarkStart w:id="330" w:name="_Toc30984"/>
      <w:bookmarkStart w:id="331" w:name="_Toc9759"/>
      <w:bookmarkStart w:id="332" w:name="_Toc8463"/>
      <w:bookmarkStart w:id="333" w:name="_Toc29161"/>
      <w:bookmarkStart w:id="334" w:name="_Toc5142"/>
      <w:bookmarkStart w:id="335" w:name="_Toc29063"/>
      <w:r>
        <w:rPr>
          <w:rFonts w:hint="eastAsia" w:ascii="宋体" w:hAnsi="宋体" w:cs="宋体"/>
          <w:sz w:val="24"/>
        </w:rPr>
        <w:t>1.10 交通运输</w:t>
      </w:r>
      <w:bookmarkEnd w:id="328"/>
      <w:bookmarkEnd w:id="329"/>
      <w:bookmarkEnd w:id="330"/>
      <w:bookmarkEnd w:id="331"/>
      <w:bookmarkEnd w:id="332"/>
      <w:bookmarkEnd w:id="333"/>
      <w:bookmarkEnd w:id="334"/>
      <w:bookmarkEnd w:id="335"/>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1.10.1 出入现场的权利 </w:t>
      </w:r>
    </w:p>
    <w:p>
      <w:pPr>
        <w:pStyle w:val="101"/>
        <w:spacing w:line="460" w:lineRule="exact"/>
        <w:ind w:firstLine="480" w:firstLineChars="200"/>
        <w:rPr>
          <w:rFonts w:ascii="宋体" w:hAnsi="宋体" w:cs="宋体"/>
          <w:sz w:val="24"/>
        </w:rPr>
      </w:pPr>
      <w:r>
        <w:rPr>
          <w:rFonts w:hint="eastAsia" w:ascii="宋体" w:hAnsi="宋体" w:cs="宋体"/>
          <w:sz w:val="24"/>
        </w:rPr>
        <w:t>关于出入现场的权利的约定：</w:t>
      </w:r>
      <w:r>
        <w:rPr>
          <w:rFonts w:hint="eastAsia" w:ascii="宋体" w:hAnsi="宋体" w:cs="宋体"/>
          <w:sz w:val="24"/>
          <w:u w:val="single"/>
        </w:rPr>
        <w:t>由承包人按照发包人要求负责取得出入施工现场所需批准手续和全部权利。承包人应协助发包人办理修理场内外道路和其他起初设施的手续。</w:t>
      </w:r>
    </w:p>
    <w:p>
      <w:pPr>
        <w:pStyle w:val="101"/>
        <w:spacing w:line="460" w:lineRule="exact"/>
        <w:ind w:firstLine="480" w:firstLineChars="200"/>
        <w:rPr>
          <w:rFonts w:ascii="宋体" w:hAnsi="宋体" w:cs="宋体"/>
          <w:sz w:val="24"/>
        </w:rPr>
      </w:pPr>
      <w:r>
        <w:rPr>
          <w:rFonts w:hint="eastAsia" w:ascii="宋体" w:hAnsi="宋体" w:cs="宋体"/>
          <w:sz w:val="24"/>
        </w:rPr>
        <w:t xml:space="preserve">1.10.3 场内交通 </w:t>
      </w:r>
    </w:p>
    <w:p>
      <w:pPr>
        <w:pStyle w:val="101"/>
        <w:spacing w:line="460" w:lineRule="exact"/>
        <w:ind w:firstLine="480" w:firstLineChars="200"/>
        <w:rPr>
          <w:rFonts w:ascii="宋体" w:hAnsi="宋体" w:cs="宋体"/>
          <w:sz w:val="24"/>
          <w:u w:val="single"/>
        </w:rPr>
      </w:pPr>
      <w:r>
        <w:rPr>
          <w:rFonts w:hint="eastAsia" w:ascii="宋体" w:hAnsi="宋体" w:cs="宋体"/>
          <w:sz w:val="24"/>
        </w:rPr>
        <w:t>关于场外交通和场内交通的边界的约定：</w:t>
      </w:r>
      <w:r>
        <w:rPr>
          <w:rFonts w:hint="eastAsia" w:ascii="宋体" w:hAnsi="宋体" w:cs="宋体"/>
          <w:sz w:val="24"/>
          <w:u w:val="single"/>
        </w:rPr>
        <w:t>以进入施工现场用地红线为界。</w:t>
      </w:r>
    </w:p>
    <w:p>
      <w:pPr>
        <w:pStyle w:val="101"/>
        <w:spacing w:line="460" w:lineRule="exact"/>
        <w:ind w:firstLine="480" w:firstLineChars="200"/>
        <w:rPr>
          <w:rFonts w:ascii="宋体" w:hAnsi="宋体" w:cs="宋体"/>
          <w:sz w:val="24"/>
        </w:rPr>
      </w:pPr>
      <w:r>
        <w:rPr>
          <w:rFonts w:hint="eastAsia" w:ascii="宋体" w:hAnsi="宋体" w:cs="宋体"/>
          <w:sz w:val="24"/>
        </w:rPr>
        <w:t>关于工程施工需要的场内道路和交通设施的约定：</w:t>
      </w:r>
      <w:r>
        <w:rPr>
          <w:rFonts w:hint="eastAsia" w:ascii="宋体" w:hAnsi="宋体" w:cs="宋体"/>
          <w:sz w:val="24"/>
          <w:u w:val="single"/>
        </w:rPr>
        <w:t xml:space="preserve"> 施工区域内的道路由承包人根据施工总平面图的布置负责建设、保养维护、管理，并承担相应费用。施工场地内的维护及卫生管理由承包人负责，费用均已含在合同价中。</w:t>
      </w:r>
    </w:p>
    <w:p>
      <w:pPr>
        <w:pStyle w:val="101"/>
        <w:spacing w:line="460" w:lineRule="exact"/>
        <w:ind w:firstLine="480" w:firstLineChars="200"/>
        <w:rPr>
          <w:rFonts w:ascii="宋体" w:hAnsi="宋体" w:cs="宋体"/>
          <w:sz w:val="24"/>
        </w:rPr>
      </w:pPr>
      <w:r>
        <w:rPr>
          <w:rFonts w:hint="eastAsia" w:ascii="宋体" w:hAnsi="宋体" w:cs="宋体"/>
          <w:sz w:val="24"/>
        </w:rPr>
        <w:t xml:space="preserve">1.10.4超大件和超重件的运输 </w:t>
      </w:r>
    </w:p>
    <w:p>
      <w:pPr>
        <w:pStyle w:val="101"/>
        <w:spacing w:line="460" w:lineRule="exact"/>
        <w:ind w:firstLine="480" w:firstLineChars="200"/>
        <w:rPr>
          <w:rFonts w:ascii="宋体" w:hAnsi="宋体" w:cs="宋体"/>
          <w:sz w:val="24"/>
        </w:rPr>
      </w:pPr>
      <w:r>
        <w:rPr>
          <w:rFonts w:hint="eastAsia" w:ascii="宋体" w:hAnsi="宋体" w:cs="宋体"/>
          <w:sz w:val="24"/>
        </w:rPr>
        <w:t xml:space="preserve">若属承包人原因造成运输超大件或超重件所需的道路和桥梁临时加固改造费用和其他有关费用由承包人承担。 </w:t>
      </w:r>
    </w:p>
    <w:p>
      <w:pPr>
        <w:pStyle w:val="101"/>
        <w:spacing w:line="460" w:lineRule="exact"/>
        <w:ind w:firstLine="480" w:firstLineChars="200"/>
        <w:outlineLvl w:val="0"/>
        <w:rPr>
          <w:rFonts w:ascii="宋体" w:hAnsi="宋体" w:cs="宋体"/>
          <w:sz w:val="24"/>
        </w:rPr>
      </w:pPr>
      <w:bookmarkStart w:id="336" w:name="_Toc318"/>
      <w:bookmarkStart w:id="337" w:name="_Toc29511"/>
      <w:bookmarkStart w:id="338" w:name="_Toc7993"/>
      <w:bookmarkStart w:id="339" w:name="_Toc31701"/>
      <w:bookmarkStart w:id="340" w:name="_Toc29840"/>
      <w:bookmarkStart w:id="341" w:name="_Toc1655"/>
      <w:bookmarkStart w:id="342" w:name="_Toc7441"/>
      <w:bookmarkStart w:id="343" w:name="_Toc4620"/>
      <w:r>
        <w:rPr>
          <w:rFonts w:hint="eastAsia" w:ascii="宋体" w:hAnsi="宋体" w:cs="宋体"/>
          <w:sz w:val="24"/>
        </w:rPr>
        <w:t>1.11 知识产权</w:t>
      </w:r>
      <w:bookmarkEnd w:id="336"/>
      <w:bookmarkEnd w:id="337"/>
      <w:bookmarkEnd w:id="338"/>
      <w:bookmarkEnd w:id="339"/>
      <w:bookmarkEnd w:id="340"/>
      <w:bookmarkEnd w:id="341"/>
      <w:bookmarkEnd w:id="342"/>
      <w:bookmarkEnd w:id="343"/>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属发包人。</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关于发包人提供的上述文件的使用限制的要求：</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1.11.2  关于承包人为实施工程所编制文件的著作权的归属：</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关于承包人提供的上述文件的使用限制的要求： </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1.11.4  承包人在施工过程中所采用的专利、专有技术、技术秘密的使用费的承担方式：</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1.13工程量清单错误的修正 </w:t>
      </w:r>
    </w:p>
    <w:p>
      <w:pPr>
        <w:pStyle w:val="101"/>
        <w:spacing w:line="460" w:lineRule="exact"/>
        <w:ind w:firstLine="480" w:firstLineChars="200"/>
        <w:rPr>
          <w:rFonts w:ascii="宋体" w:hAnsi="宋体" w:cs="宋体"/>
          <w:sz w:val="24"/>
        </w:rPr>
      </w:pPr>
      <w:r>
        <w:rPr>
          <w:rFonts w:hint="eastAsia" w:ascii="宋体" w:hAnsi="宋体" w:cs="宋体"/>
          <w:sz w:val="24"/>
        </w:rPr>
        <w:t>出现工程量清单错误时，是否调整合同价格：</w:t>
      </w:r>
      <w:r>
        <w:rPr>
          <w:rFonts w:hint="eastAsia" w:ascii="宋体" w:hAnsi="宋体" w:cs="宋体"/>
          <w:sz w:val="24"/>
          <w:u w:val="single"/>
        </w:rPr>
        <w:t>仅在工程量存在缺项漏项时调整。</w:t>
      </w:r>
    </w:p>
    <w:p>
      <w:pPr>
        <w:pStyle w:val="101"/>
        <w:spacing w:line="460" w:lineRule="exact"/>
        <w:ind w:firstLine="480" w:firstLineChars="200"/>
        <w:rPr>
          <w:rFonts w:ascii="宋体" w:hAnsi="宋体" w:cs="宋体"/>
          <w:sz w:val="24"/>
        </w:rPr>
      </w:pPr>
      <w:r>
        <w:rPr>
          <w:rFonts w:hint="eastAsia" w:ascii="宋体" w:hAnsi="宋体" w:cs="宋体"/>
          <w:sz w:val="24"/>
        </w:rPr>
        <w:t>允许调整合同价格的工程量偏差范围：</w:t>
      </w:r>
      <w:r>
        <w:rPr>
          <w:rFonts w:hint="eastAsia" w:ascii="宋体" w:hAnsi="宋体" w:cs="宋体"/>
          <w:sz w:val="24"/>
          <w:u w:val="single"/>
        </w:rPr>
        <w:t>工程量存在缺项、漏项的。</w:t>
      </w:r>
    </w:p>
    <w:p>
      <w:pPr>
        <w:pStyle w:val="101"/>
        <w:spacing w:line="460" w:lineRule="exact"/>
        <w:ind w:firstLine="480" w:firstLineChars="200"/>
        <w:rPr>
          <w:rFonts w:ascii="宋体" w:hAnsi="宋体" w:cs="宋体"/>
          <w:sz w:val="24"/>
        </w:rPr>
      </w:pPr>
      <w:r>
        <w:rPr>
          <w:rFonts w:hint="eastAsia" w:ascii="宋体" w:hAnsi="宋体" w:cs="宋体"/>
          <w:sz w:val="24"/>
        </w:rPr>
        <w:t xml:space="preserve">2. 发包人 </w:t>
      </w:r>
    </w:p>
    <w:p>
      <w:pPr>
        <w:pStyle w:val="101"/>
        <w:spacing w:line="460" w:lineRule="exact"/>
        <w:ind w:firstLine="480" w:firstLineChars="200"/>
        <w:rPr>
          <w:rFonts w:ascii="宋体" w:hAnsi="宋体" w:cs="宋体"/>
          <w:sz w:val="24"/>
        </w:rPr>
      </w:pPr>
      <w:r>
        <w:rPr>
          <w:rFonts w:hint="eastAsia" w:ascii="宋体" w:hAnsi="宋体" w:cs="宋体"/>
          <w:sz w:val="24"/>
        </w:rPr>
        <w:t xml:space="preserve">2.2 发包人代表 </w:t>
      </w:r>
    </w:p>
    <w:p>
      <w:pPr>
        <w:pStyle w:val="101"/>
        <w:spacing w:line="460" w:lineRule="exact"/>
        <w:ind w:firstLine="480" w:firstLineChars="200"/>
        <w:rPr>
          <w:rFonts w:ascii="宋体" w:hAnsi="宋体" w:cs="宋体"/>
          <w:sz w:val="24"/>
        </w:rPr>
      </w:pPr>
      <w:r>
        <w:rPr>
          <w:rFonts w:hint="eastAsia" w:ascii="宋体" w:hAnsi="宋体" w:cs="宋体"/>
          <w:sz w:val="24"/>
        </w:rPr>
        <w:t>发包人代表：</w:t>
      </w:r>
    </w:p>
    <w:p>
      <w:pPr>
        <w:pStyle w:val="101"/>
        <w:spacing w:line="460" w:lineRule="exact"/>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发包人对发包人代表的授权范围如下：</w:t>
      </w:r>
      <w:r>
        <w:rPr>
          <w:rFonts w:hint="eastAsia" w:ascii="宋体" w:hAnsi="宋体" w:cs="宋体"/>
          <w:sz w:val="24"/>
          <w:u w:val="single"/>
        </w:rPr>
        <w:t>(1)检查和监督承包人和监理单位执行合同； (2)对工程设计变更的初审权； (3)承包人项目负责人及有关人员的调换需事先经其同意； (4)参与工程质量、安全、投资、进度的管理及各有关协作单位的协调； (5)参与审核工程进度款的支付；(6)组织竣工验收；(7)重大事项向上级汇报；(8)其他发包人授权的事项。</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344" w:name="_Toc31656"/>
      <w:bookmarkStart w:id="345" w:name="_Toc16290"/>
      <w:bookmarkStart w:id="346" w:name="_Toc23687"/>
      <w:bookmarkStart w:id="347" w:name="_Toc15375"/>
      <w:bookmarkStart w:id="348" w:name="_Toc31558"/>
      <w:bookmarkStart w:id="349" w:name="_Toc701"/>
      <w:bookmarkStart w:id="350" w:name="_Toc65"/>
      <w:bookmarkStart w:id="351" w:name="_Toc10883"/>
      <w:r>
        <w:rPr>
          <w:rFonts w:hint="eastAsia" w:ascii="宋体" w:hAnsi="宋体" w:cs="宋体"/>
          <w:sz w:val="24"/>
        </w:rPr>
        <w:t>2.4 施工现场、施工条件和基础资料的提供</w:t>
      </w:r>
      <w:bookmarkEnd w:id="344"/>
      <w:bookmarkEnd w:id="345"/>
      <w:bookmarkEnd w:id="346"/>
      <w:bookmarkEnd w:id="347"/>
      <w:bookmarkEnd w:id="348"/>
      <w:bookmarkEnd w:id="349"/>
      <w:bookmarkEnd w:id="350"/>
      <w:bookmarkEnd w:id="351"/>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2.4.1 提供施工现场 </w:t>
      </w:r>
    </w:p>
    <w:p>
      <w:pPr>
        <w:pStyle w:val="101"/>
        <w:spacing w:line="460" w:lineRule="exact"/>
        <w:ind w:firstLine="480" w:firstLineChars="200"/>
        <w:rPr>
          <w:rFonts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已具备，开工前3天。</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2.4.2 提供施工条件 </w:t>
      </w:r>
    </w:p>
    <w:p>
      <w:pPr>
        <w:pStyle w:val="101"/>
        <w:spacing w:line="460" w:lineRule="exact"/>
        <w:ind w:firstLine="480" w:firstLineChars="200"/>
        <w:rPr>
          <w:rFonts w:ascii="宋体" w:hAnsi="宋体" w:cs="宋体"/>
          <w:sz w:val="24"/>
        </w:rPr>
      </w:pPr>
      <w:r>
        <w:rPr>
          <w:rFonts w:hint="eastAsia" w:ascii="宋体" w:hAnsi="宋体" w:cs="宋体"/>
          <w:sz w:val="24"/>
        </w:rPr>
        <w:t>关于发包人应负责提供施工所需要的条件，包括：</w:t>
      </w:r>
      <w:r>
        <w:rPr>
          <w:rFonts w:hint="eastAsia" w:ascii="宋体" w:hAnsi="宋体" w:cs="宋体"/>
          <w:sz w:val="24"/>
          <w:u w:val="single"/>
        </w:rPr>
        <w:t>通讯线路接驳由承包人自行解决，施工用水、用电由发包人提供至红线范围内，剩余部分由承包人自行解决，其发生费用及施工中用水、用电、线路接驳费用由承包人承担，已含在合同价中。</w:t>
      </w:r>
    </w:p>
    <w:p>
      <w:pPr>
        <w:pStyle w:val="101"/>
        <w:spacing w:line="460" w:lineRule="exact"/>
        <w:ind w:firstLine="480" w:firstLineChars="200"/>
        <w:outlineLvl w:val="0"/>
        <w:rPr>
          <w:rFonts w:ascii="宋体" w:hAnsi="宋体" w:cs="宋体"/>
          <w:sz w:val="24"/>
        </w:rPr>
      </w:pPr>
      <w:bookmarkStart w:id="352" w:name="_Toc30625"/>
      <w:bookmarkStart w:id="353" w:name="_Toc17864"/>
      <w:bookmarkStart w:id="354" w:name="_Toc26424"/>
      <w:bookmarkStart w:id="355" w:name="_Toc16413"/>
      <w:bookmarkStart w:id="356" w:name="_Toc14961"/>
      <w:bookmarkStart w:id="357" w:name="_Toc8511"/>
      <w:bookmarkStart w:id="358" w:name="_Toc27595"/>
      <w:bookmarkStart w:id="359" w:name="_Toc15427"/>
      <w:r>
        <w:rPr>
          <w:rFonts w:hint="eastAsia" w:ascii="宋体" w:hAnsi="宋体" w:cs="宋体"/>
          <w:sz w:val="24"/>
        </w:rPr>
        <w:t>2.5 资金来源证明及支付担保</w:t>
      </w:r>
      <w:bookmarkEnd w:id="352"/>
      <w:bookmarkEnd w:id="353"/>
      <w:bookmarkEnd w:id="354"/>
      <w:bookmarkEnd w:id="355"/>
      <w:bookmarkEnd w:id="356"/>
      <w:bookmarkEnd w:id="357"/>
      <w:bookmarkEnd w:id="358"/>
      <w:bookmarkEnd w:id="359"/>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否         </w:t>
      </w:r>
    </w:p>
    <w:p>
      <w:pPr>
        <w:pStyle w:val="101"/>
        <w:spacing w:line="460" w:lineRule="exact"/>
        <w:ind w:firstLine="480" w:firstLineChars="200"/>
        <w:rPr>
          <w:rFonts w:ascii="宋体" w:hAnsi="宋体" w:cs="宋体"/>
          <w:sz w:val="24"/>
        </w:rPr>
      </w:pPr>
      <w:r>
        <w:rPr>
          <w:rFonts w:hint="eastAsia" w:ascii="宋体" w:hAnsi="宋体" w:cs="宋体"/>
          <w:sz w:val="24"/>
        </w:rPr>
        <w:t>发包人提供支付担保的形式：</w:t>
      </w:r>
      <w:r>
        <w:rPr>
          <w:rFonts w:hint="eastAsia" w:ascii="宋体" w:hAnsi="宋体" w:cs="宋体"/>
          <w:sz w:val="24"/>
          <w:u w:val="single"/>
        </w:rPr>
        <w:t xml:space="preserve">  /          </w:t>
      </w:r>
    </w:p>
    <w:p>
      <w:pPr>
        <w:pStyle w:val="101"/>
        <w:spacing w:line="460" w:lineRule="exact"/>
        <w:ind w:firstLine="480" w:firstLineChars="200"/>
        <w:rPr>
          <w:rFonts w:ascii="宋体" w:hAnsi="宋体" w:cs="宋体"/>
          <w:sz w:val="24"/>
        </w:rPr>
      </w:pPr>
      <w:r>
        <w:rPr>
          <w:rFonts w:hint="eastAsia" w:ascii="宋体" w:hAnsi="宋体" w:cs="宋体"/>
          <w:sz w:val="24"/>
        </w:rPr>
        <w:t xml:space="preserve">3. 承包人   </w:t>
      </w:r>
    </w:p>
    <w:p>
      <w:pPr>
        <w:pStyle w:val="101"/>
        <w:spacing w:line="460" w:lineRule="exact"/>
        <w:ind w:firstLine="480" w:firstLineChars="200"/>
        <w:rPr>
          <w:rFonts w:ascii="宋体" w:hAnsi="宋体" w:cs="宋体"/>
          <w:sz w:val="24"/>
        </w:rPr>
      </w:pPr>
      <w:r>
        <w:rPr>
          <w:rFonts w:hint="eastAsia" w:ascii="宋体" w:hAnsi="宋体" w:cs="宋体"/>
          <w:sz w:val="24"/>
        </w:rPr>
        <w:t xml:space="preserve">3.1 承包人的一般义务 </w:t>
      </w:r>
    </w:p>
    <w:p>
      <w:pPr>
        <w:pStyle w:val="101"/>
        <w:spacing w:line="460" w:lineRule="exact"/>
        <w:ind w:firstLine="480" w:firstLineChars="200"/>
        <w:rPr>
          <w:rFonts w:ascii="宋体" w:hAnsi="宋体" w:cs="宋体"/>
          <w:sz w:val="24"/>
        </w:rPr>
      </w:pPr>
      <w:r>
        <w:rPr>
          <w:rFonts w:hint="eastAsia" w:ascii="宋体" w:hAnsi="宋体" w:cs="宋体"/>
          <w:sz w:val="24"/>
        </w:rPr>
        <w:t xml:space="preserve">3.1.1 承包人提交的竣工资料的内容：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①承包人应按照国家、省、市以及发包人有关整理工程档案的要求，在工程施工期间及时收集、汇总、整理、编制竣工档案，并于工程竣工验收后30 天向发包人完整预交竣工档案，不按时报送按延误工期赔偿办法处理。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②承包人必须委托设计单位按照施工图的格式和比例绘制竣工图贰套，电子版贰套，每出现一处不吻合的承包人须向发包人承担1000元/处的违约金，经监理人复核签证后加盖竣工图章交发包人；自行提供影像资料贰套交发包人；并给规划部门提供该部门认可的电子版竣工图。其测图、绘图、竣工资料收集整理费用须在报价中予以考虑，发包人不额外支付该费用。</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③发包人收到完整的竣工验收资料（含竣工图）和竣工验收报告后28 天内组织有关单位进行验收，工程竣工验收严格按国家、省、市、部门有关文件执行，并在验收后28 天内给予认可或提出修改意见。 承包人按要求修改，并承担由自身原因造成修改的费用。 </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④发包人收到承包人送交的完整的竣工验收资料（含竣工图）和竣工验收报告后28 天内不组织验收，或验收后28 天内不提出修改意见，视为竣工验收报告已被认可。 </w:t>
      </w:r>
    </w:p>
    <w:p>
      <w:pPr>
        <w:pStyle w:val="101"/>
        <w:spacing w:line="460" w:lineRule="exact"/>
        <w:ind w:firstLine="420"/>
        <w:rPr>
          <w:rFonts w:ascii="宋体" w:hAnsi="宋体" w:cs="宋体"/>
          <w:sz w:val="24"/>
        </w:rPr>
      </w:pPr>
      <w:r>
        <w:rPr>
          <w:rFonts w:hint="eastAsia" w:ascii="宋体" w:hAnsi="宋体" w:cs="宋体"/>
          <w:sz w:val="24"/>
          <w:u w:val="single"/>
        </w:rPr>
        <w:t>⑤工程竣工验收通过，承包人送交完整的竣工验收资料（含竣工图）和竣工验收报告的日期为实际竣工日期。工程按发包人要求修改后通过竣工验收的，实际竣工日期为承包人修改后提请发包人验收的日期。</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承包人需要提交的竣工资料套数：</w:t>
      </w:r>
      <w:r>
        <w:rPr>
          <w:rFonts w:hint="eastAsia" w:ascii="宋体" w:hAnsi="宋体" w:cs="宋体"/>
          <w:sz w:val="24"/>
          <w:u w:val="single"/>
        </w:rPr>
        <w:t>竣工图纸肆套及电子版捌套。</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承包人提交的竣工资料的费用承担：</w:t>
      </w:r>
      <w:r>
        <w:rPr>
          <w:rFonts w:hint="eastAsia" w:ascii="宋体" w:hAnsi="宋体" w:cs="宋体"/>
          <w:sz w:val="24"/>
          <w:u w:val="single"/>
        </w:rPr>
        <w:t>由承包人自行承担。</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工程竣工验收合格后30天内。</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承包人提交的竣工资料形式要求：</w:t>
      </w:r>
      <w:r>
        <w:rPr>
          <w:rFonts w:hint="eastAsia" w:ascii="宋体" w:hAnsi="宋体" w:cs="宋体"/>
          <w:sz w:val="24"/>
          <w:u w:val="single"/>
        </w:rPr>
        <w:t>纸质版及电子版。</w:t>
      </w:r>
    </w:p>
    <w:p>
      <w:pPr>
        <w:pStyle w:val="101"/>
        <w:spacing w:line="460" w:lineRule="exact"/>
        <w:ind w:firstLine="540" w:firstLineChars="225"/>
        <w:rPr>
          <w:rFonts w:ascii="宋体" w:hAnsi="宋体" w:cs="宋体"/>
          <w:sz w:val="24"/>
        </w:rPr>
      </w:pPr>
      <w:r>
        <w:rPr>
          <w:rFonts w:hint="eastAsia" w:ascii="宋体" w:hAnsi="宋体" w:cs="宋体"/>
          <w:sz w:val="24"/>
        </w:rPr>
        <w:t xml:space="preserve">3.1.2承包人应履行的其他义务：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(1)应提供计划、报表的名称及完成时间：当月 25日前向监理工程师报送“工程进度月报表”和“计量支付申请书”，监理工程师在承包人提交后7日内确认。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(2)承担施工安全保卫工作及非夜间施工照明的责任和要求：承包人应按照建设行政主管部门或其他相关部门的要求，自行承担安全保卫、文明施工及非夜间施工照明等工作和相关费用。承包人应负责现场全部作业的安全，在合同工程施工、完工及修补缺陷的整个工程期限内，全面负责所有留在现场上的人员的安全，保护其管辖范围的现场（包括某些尚未完工的和发包人尚未接管的工程）处于有条不紊和良好的状态。承包人已在合同价中考虑有关费用，并保证发包人免于受到或承担应由承包人负责的上述事项所引起的或与之有关的索赔、诉讼以及其它开支。</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(3) 已完工程成品保护的特殊要求及费用承担：在项目工程完工未验收交付前的已完工程成品的保护工作和费用均由承包人承担。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(4) 施工场地清洁卫生的要求：承包人按建设工程现行相关管理规定和发包人相关要求做好文明施工，所需费用由承包人承担。施工场区在单位工程完工验收前一周内做到工完场清并向发包人移交。</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(5) 承包人应做的其他工作及要求：</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1、承包人的报价已充分考虑地下管线、地下排水、施工场地障碍条件和现场各种不利条件发生可能带来的风险及增加的费用，也已仔细阅读和理解谈判文件中有关承包范围、技术标准、施工要求、质量目标、安全文明施工目标、工程进度目标、地下情况、交通条件、水电条件、场地条件等条款，并结合企业自身条件进行了报价。发包人不再对因以上原因引起费用增加进行调整。</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2、“工程排污费”是指施工企业按环境保护部门的规定，对施工现场超标准排放的噪音污染缴纳的费用。谈判时按《关于发布“湖北省房屋建筑与装饰工程消耗量定额”的通知》（鄂建文[2013]66号）中规定的费率计算，结算时应按实际发生计取。该费用由承包人缴纳，在谈判时应充分考虑并计入总报价中。</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3、承包人应当清楚地预计到施工期间对外界可能产生的不可避免的干扰，并为此保证主动努力减少这些干扰对外界的影响，且应当积极主动与外界进行协调。</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4、承包人必须无条件接受发包人下达的对施工场地清扫、整理、挂贴标语标牌等安全文明施工方面的指令，由此增加的费用已含在合同价中，发包人不对此类费用另行计价支付。</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 5、承包人应当清楚并充分预计到在工程前期和施工过程中施工场地障碍物拆迁等各种困难及其对工程进展的不利影响，甚至是严重影响。对此，承包人应积极主动做好协调、配合工作，并尽量创造各种条件和采取各种有效措施，以确保工程顺利推进及工期目标的实现。这种困难或影响不能免除承包人对工期目标未能实现的责任，并不得以此为理由要求顺延工期或增加各种费用。</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6、根据《市住建委关于进一步规范建设工程工程量清单计价工作的通知》宜市住建文[2010]44号文件规定，建设工程质量检测费用由发包人承担，但承包人应在开工前将建设工程质量专项检测方案按规定程序报监理、发包人审批。因承包人原因导致建设工程质量检测项目检验试验结果不合格，而需要进行复检的，复检费用由承包人承担。</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7、发包人有权根据项目建设需要，要求承包人对现场的施工机械机具、材料、施工工棚二次转运、移位，所发生的费用已包含在合同内。若承包人拒不执行发包人指令，导致发包人后续或交叉施工工作延误，扰乱发包人整体项目建设部署的，发包人有权对承包人进行处罚，处罚金额为两万元以上五万元以下并记一次一般违约责任。</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8、承包人施工用水、用电应挂表计量，其计量由承包人和发包人指定人员共同按月确认。承包人计量数据与发包人总表数据的差额（即损耗）由承包人依据其用量份额按比例分摊。</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9、承包人的施工现场布置必须通过发包人认可，并接受发包人的管理。凡未经发包人允许的区域，承包人严禁占用。</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10、承包人对建设的工程负缺陷担保责任，在工程质量保修期内，工程所有人或使用人发现工程有缺陷的，有权要求承包人维修。</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11、在工程施工中，承包人应严格遵守《工程施工现场签证管理办法》文件要求。</w:t>
      </w:r>
    </w:p>
    <w:p>
      <w:pPr>
        <w:pStyle w:val="101"/>
        <w:spacing w:line="460" w:lineRule="exact"/>
        <w:ind w:firstLine="480" w:firstLineChars="200"/>
        <w:rPr>
          <w:rFonts w:ascii="宋体" w:hAnsi="宋体" w:cs="宋体"/>
          <w:sz w:val="24"/>
        </w:rPr>
      </w:pPr>
      <w:r>
        <w:rPr>
          <w:rFonts w:hint="eastAsia" w:ascii="宋体" w:hAnsi="宋体" w:cs="宋体"/>
          <w:sz w:val="24"/>
        </w:rPr>
        <w:t xml:space="preserve">3.2 项目经理 </w:t>
      </w:r>
    </w:p>
    <w:p>
      <w:pPr>
        <w:pStyle w:val="101"/>
        <w:spacing w:line="460" w:lineRule="exact"/>
        <w:ind w:firstLine="480" w:firstLineChars="200"/>
        <w:rPr>
          <w:rFonts w:ascii="宋体" w:hAnsi="宋体" w:cs="宋体"/>
          <w:sz w:val="24"/>
        </w:rPr>
      </w:pPr>
      <w:r>
        <w:rPr>
          <w:rFonts w:hint="eastAsia" w:ascii="宋体" w:hAnsi="宋体" w:cs="宋体"/>
          <w:sz w:val="24"/>
        </w:rPr>
        <w:t>3.2.1 项目经理：</w:t>
      </w:r>
    </w:p>
    <w:p>
      <w:pPr>
        <w:pStyle w:val="101"/>
        <w:spacing w:line="460" w:lineRule="exact"/>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承包人对项目经理的授权范围如下：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⑴协调调用承包人资源支持，包括人、财、物、信息、技术、管理等资源的策划、指导、服务和控制；全面支持项目的工作；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⑵代表总承包人履行对业主的合约，并受业主委托行使对项目所有分包商统一指挥、协调、管理权；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⑶负责组织编制与审批工程总体进度计划及其修订与调整； </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 ⑷负责组织编制与审批质量保证计划及其修订与调整； </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 ⑸负责组织编制与审批主要物资供应与采购计划及其修订与调整； </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 ⑹负责组织编制与审批工程分包计划及其修订与调整； </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 ⑺组织工程成本的分析、预测及控制，对项目资金管理与财务运作负责； </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 ⑻与业主、监理保持经常沟通，了解业主需求，解决随时出现的问题，替业主排忧解难，保护业主利益； </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 ⑼负责组织人力资源调配、内部和外部关系协调； </w:t>
      </w:r>
    </w:p>
    <w:p>
      <w:pPr>
        <w:pStyle w:val="101"/>
        <w:spacing w:line="460" w:lineRule="exact"/>
        <w:ind w:firstLine="540" w:firstLineChars="225"/>
        <w:rPr>
          <w:rFonts w:ascii="宋体" w:hAnsi="宋体" w:cs="宋体"/>
          <w:sz w:val="24"/>
          <w:u w:val="single"/>
        </w:rPr>
      </w:pPr>
      <w:r>
        <w:rPr>
          <w:rFonts w:hint="eastAsia" w:ascii="宋体" w:hAnsi="宋体" w:cs="宋体"/>
          <w:sz w:val="24"/>
          <w:u w:val="single"/>
        </w:rPr>
        <w:t xml:space="preserve">⑽在紧急情况下，涉及到工程及与工程有关的人身和财产安全可以使用临时处置权，临时处置权只能紧急情况发生时，无法联系到发包人代表和总监理工程师时使用，且事后 48小时内向发包人代表和总监理工程师提交书面报告，同时，不得采取不必要的措施。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⑾项目经理应遵照合同约定及施工组织设计中的内容实施于工程，当超出实施范围应向发包人、承包人上级决策机构申报。</w:t>
      </w:r>
    </w:p>
    <w:p>
      <w:pPr>
        <w:pStyle w:val="101"/>
        <w:spacing w:line="460" w:lineRule="exact"/>
        <w:ind w:firstLine="480" w:firstLineChars="200"/>
        <w:rPr>
          <w:rFonts w:ascii="宋体" w:hAnsi="宋体" w:cs="宋体"/>
          <w:sz w:val="24"/>
        </w:rPr>
      </w:pPr>
      <w:r>
        <w:rPr>
          <w:rFonts w:hint="eastAsia" w:ascii="宋体" w:hAnsi="宋体" w:cs="宋体"/>
          <w:sz w:val="24"/>
        </w:rPr>
        <w:t>关于项目经理每月在施工现场的时间要求：</w:t>
      </w:r>
      <w:r>
        <w:rPr>
          <w:rFonts w:hint="eastAsia" w:ascii="宋体" w:hAnsi="宋体" w:cs="宋体"/>
          <w:sz w:val="24"/>
          <w:u w:val="single"/>
        </w:rPr>
        <w:t xml:space="preserve"> 26日历天，若在场时间达不到要求处1000元/天违约金</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承包人未提交劳动合同，以及没有为项目经理缴纳社会保险证明的违约责任：</w:t>
      </w:r>
      <w:r>
        <w:rPr>
          <w:rFonts w:hint="eastAsia" w:ascii="宋体" w:hAnsi="宋体" w:cs="宋体"/>
          <w:sz w:val="24"/>
          <w:u w:val="single"/>
        </w:rPr>
        <w:t>承包人承担 2 万元违约金，并在 20 日内补交劳动合同和社保缴纳证明。</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项目经理未经批准，擅自离开施工现场的违约责任：</w:t>
      </w:r>
      <w:r>
        <w:rPr>
          <w:rFonts w:hint="eastAsia" w:ascii="宋体" w:hAnsi="宋体" w:cs="宋体"/>
          <w:sz w:val="24"/>
          <w:u w:val="single"/>
        </w:rPr>
        <w:t xml:space="preserve">承包人承担1000元/天的违约金，并承担因上述违约给发包人造成的损失，发包人有权解除合同并责令承包人退场。 </w:t>
      </w:r>
    </w:p>
    <w:p>
      <w:pPr>
        <w:pStyle w:val="101"/>
        <w:spacing w:line="460" w:lineRule="exact"/>
        <w:ind w:firstLine="480" w:firstLineChars="200"/>
        <w:rPr>
          <w:rFonts w:ascii="宋体" w:hAnsi="宋体" w:cs="宋体"/>
          <w:sz w:val="24"/>
        </w:rPr>
      </w:pPr>
      <w:r>
        <w:rPr>
          <w:rFonts w:hint="eastAsia" w:ascii="宋体" w:hAnsi="宋体" w:cs="宋体"/>
          <w:sz w:val="24"/>
        </w:rPr>
        <w:t>3.2.3 承包人擅自更换项目经理的违约责任：</w:t>
      </w:r>
      <w:r>
        <w:rPr>
          <w:rFonts w:hint="eastAsia" w:ascii="宋体" w:hAnsi="宋体" w:cs="宋体"/>
          <w:sz w:val="24"/>
          <w:u w:val="single"/>
        </w:rPr>
        <w:t>处以1万元/次的违约金，并承担因上述违约给发包人造成的损失，发包人有权解除合同并责令承包人退场。</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3.2.4 承包人无正当理由拒绝更换项目经理的违约责任：</w:t>
      </w:r>
      <w:r>
        <w:rPr>
          <w:rFonts w:hint="eastAsia" w:ascii="宋体" w:hAnsi="宋体" w:cs="宋体"/>
          <w:sz w:val="24"/>
          <w:u w:val="single"/>
        </w:rPr>
        <w:t>处以3万元/次违约金，并承担因上述违约给发包人造成的损失，发包人有权解除合同并责令承包人退场。</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3.3 承包人人员 </w:t>
      </w:r>
    </w:p>
    <w:p>
      <w:pPr>
        <w:pStyle w:val="101"/>
        <w:spacing w:line="460" w:lineRule="exact"/>
        <w:ind w:firstLine="480" w:firstLineChars="200"/>
        <w:rPr>
          <w:rFonts w:ascii="宋体" w:hAnsi="宋体" w:cs="宋体"/>
          <w:sz w:val="24"/>
          <w:u w:val="single"/>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 xml:space="preserve">工程开工前三天。 </w:t>
      </w:r>
    </w:p>
    <w:p>
      <w:pPr>
        <w:pStyle w:val="101"/>
        <w:spacing w:line="460" w:lineRule="exact"/>
        <w:ind w:firstLine="480" w:firstLineChars="200"/>
        <w:rPr>
          <w:rFonts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处以2万元/次违约金，并承担因上述违约给发包人造成的损失，发包人有权解除合同并责令承包人退场。</w:t>
      </w:r>
    </w:p>
    <w:p>
      <w:pPr>
        <w:pStyle w:val="101"/>
        <w:spacing w:line="460" w:lineRule="exact"/>
        <w:ind w:firstLine="480" w:firstLineChars="200"/>
        <w:rPr>
          <w:rFonts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由总监理工程师批准，经发包人代表认可后方可离开。</w:t>
      </w:r>
    </w:p>
    <w:p>
      <w:pPr>
        <w:pStyle w:val="101"/>
        <w:spacing w:line="460" w:lineRule="exact"/>
        <w:ind w:firstLine="480" w:firstLineChars="200"/>
        <w:rPr>
          <w:rFonts w:ascii="宋体" w:hAnsi="宋体" w:cs="宋体"/>
          <w:sz w:val="24"/>
          <w:u w:val="single"/>
        </w:rPr>
      </w:pPr>
      <w:r>
        <w:rPr>
          <w:rFonts w:hint="eastAsia" w:ascii="宋体" w:hAnsi="宋体" w:cs="宋体"/>
          <w:sz w:val="24"/>
        </w:rPr>
        <w:t>3.3.5承包人擅自更换主要施工管理人员的违约责任：</w:t>
      </w:r>
      <w:r>
        <w:rPr>
          <w:rFonts w:hint="eastAsia" w:ascii="宋体" w:hAnsi="宋体" w:cs="宋体"/>
          <w:sz w:val="24"/>
          <w:u w:val="single"/>
        </w:rPr>
        <w:t>处以1万元/次违约金，并承担因上述违约给发包人造成的损失，发包人有权解除合同并责令承包人退场。</w:t>
      </w:r>
    </w:p>
    <w:p>
      <w:pPr>
        <w:pStyle w:val="101"/>
        <w:spacing w:line="460" w:lineRule="exact"/>
        <w:ind w:firstLine="480" w:firstLineChars="200"/>
        <w:rPr>
          <w:rFonts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处以 1 万元/次违约金，并承担因上述违约给发包人造成的损失。 </w:t>
      </w:r>
    </w:p>
    <w:p>
      <w:pPr>
        <w:pStyle w:val="101"/>
        <w:spacing w:line="460" w:lineRule="exact"/>
        <w:ind w:firstLine="480" w:firstLineChars="200"/>
        <w:rPr>
          <w:rFonts w:ascii="宋体" w:hAnsi="宋体" w:cs="宋体"/>
          <w:sz w:val="24"/>
          <w:u w:val="single"/>
        </w:rPr>
      </w:pPr>
      <w:r>
        <w:rPr>
          <w:rFonts w:hint="eastAsia" w:ascii="宋体" w:hAnsi="宋体" w:cs="宋体"/>
          <w:sz w:val="24"/>
        </w:rPr>
        <w:t>3.5 分包：</w:t>
      </w:r>
      <w:r>
        <w:rPr>
          <w:rFonts w:hint="eastAsia" w:ascii="宋体" w:hAnsi="宋体" w:cs="宋体"/>
          <w:sz w:val="24"/>
          <w:u w:val="single"/>
        </w:rPr>
        <w:t>允许分包的专业工程包括：设有暂估价的专业工程。</w:t>
      </w:r>
    </w:p>
    <w:p>
      <w:pPr>
        <w:pStyle w:val="77"/>
        <w:spacing w:before="0" w:after="0" w:line="460" w:lineRule="exact"/>
        <w:ind w:left="0" w:firstLine="480" w:firstLineChars="200"/>
        <w:jc w:val="left"/>
        <w:rPr>
          <w:rFonts w:ascii="宋体" w:hAnsi="宋体" w:cs="宋体"/>
          <w:sz w:val="24"/>
          <w:u w:val="single"/>
        </w:rPr>
      </w:pPr>
      <w:r>
        <w:rPr>
          <w:rFonts w:hint="eastAsia" w:ascii="宋体" w:hAnsi="宋体" w:cs="宋体"/>
          <w:sz w:val="24"/>
        </w:rPr>
        <w:t>其他关于分包的约定：</w:t>
      </w:r>
      <w:r>
        <w:rPr>
          <w:rFonts w:hint="eastAsia" w:ascii="宋体" w:hAnsi="宋体" w:cs="宋体"/>
          <w:sz w:val="24"/>
          <w:u w:val="single"/>
        </w:rPr>
        <w:t>本工程未经业主同意不允许专业分包，劳务分包必须符合《房屋建筑和市政基础设施工程施工分包管理办法》（中华人民共和国建设部令第124号）等国家、省、市有关规定并必须取得发包人的书面同意。劳务分包必须签订分包合同，明确分包合同当事人的权利义务和分包内容、分包工程量。承包人须向发包人提交分包合同副本一份和分包单位相关资质业绩，主要管理人员等备案资料，并报相关建设行政主管部门备案。承包人分包工程应当在施工合同中约定或取得发包人同意。</w:t>
      </w:r>
    </w:p>
    <w:p>
      <w:pPr>
        <w:pStyle w:val="101"/>
        <w:spacing w:line="460" w:lineRule="exact"/>
        <w:ind w:firstLine="480" w:firstLineChars="200"/>
        <w:rPr>
          <w:rFonts w:ascii="宋体" w:hAnsi="宋体" w:cs="宋体"/>
          <w:sz w:val="24"/>
        </w:rPr>
      </w:pPr>
      <w:r>
        <w:rPr>
          <w:rFonts w:hint="eastAsia" w:ascii="宋体" w:hAnsi="宋体" w:cs="宋体"/>
          <w:sz w:val="24"/>
        </w:rPr>
        <w:t>3.6履约保证金</w:t>
      </w:r>
    </w:p>
    <w:p>
      <w:pPr>
        <w:pStyle w:val="101"/>
        <w:spacing w:line="460" w:lineRule="exact"/>
        <w:ind w:firstLine="480" w:firstLineChars="200"/>
        <w:rPr>
          <w:rFonts w:ascii="宋体" w:hAnsi="宋体" w:cs="宋体"/>
          <w:sz w:val="24"/>
        </w:rPr>
      </w:pPr>
      <w:r>
        <w:rPr>
          <w:rFonts w:hint="eastAsia" w:ascii="宋体" w:hAnsi="宋体" w:cs="宋体"/>
          <w:sz w:val="24"/>
        </w:rPr>
        <w:t>3.6.1履约保证金比例：</w:t>
      </w:r>
      <w:r>
        <w:rPr>
          <w:rFonts w:hint="eastAsia" w:ascii="宋体" w:hAnsi="宋体" w:cs="宋体"/>
          <w:sz w:val="24"/>
          <w:u w:val="single"/>
        </w:rPr>
        <w:t>合同金额的5%的履约保证金。</w:t>
      </w:r>
    </w:p>
    <w:p>
      <w:pPr>
        <w:pStyle w:val="101"/>
        <w:spacing w:line="460" w:lineRule="exact"/>
        <w:ind w:firstLine="480" w:firstLineChars="200"/>
        <w:rPr>
          <w:rFonts w:ascii="宋体" w:hAnsi="宋体" w:cs="宋体"/>
          <w:sz w:val="24"/>
          <w:u w:val="single"/>
        </w:rPr>
      </w:pPr>
      <w:r>
        <w:rPr>
          <w:rFonts w:hint="eastAsia" w:ascii="宋体" w:hAnsi="宋体" w:cs="宋体"/>
          <w:sz w:val="24"/>
        </w:rPr>
        <w:t>3.6.2缴纳履约保证金时间：</w:t>
      </w:r>
      <w:r>
        <w:rPr>
          <w:rFonts w:hint="eastAsia" w:ascii="宋体" w:hAnsi="宋体" w:cs="宋体"/>
          <w:sz w:val="24"/>
          <w:u w:val="single"/>
        </w:rPr>
        <w:t>成交供应商在与采购人签订施工合同前。</w:t>
      </w:r>
    </w:p>
    <w:p>
      <w:pPr>
        <w:pStyle w:val="101"/>
        <w:spacing w:line="460" w:lineRule="exact"/>
        <w:ind w:firstLine="480" w:firstLineChars="200"/>
        <w:rPr>
          <w:rFonts w:ascii="宋体" w:hAnsi="宋体" w:cs="宋体"/>
          <w:sz w:val="24"/>
        </w:rPr>
      </w:pPr>
      <w:r>
        <w:rPr>
          <w:rFonts w:hint="eastAsia" w:ascii="宋体" w:hAnsi="宋体" w:cs="宋体"/>
          <w:sz w:val="24"/>
        </w:rPr>
        <w:t xml:space="preserve">3.7工程照管与成品、半成品保护 </w:t>
      </w:r>
    </w:p>
    <w:p>
      <w:pPr>
        <w:pStyle w:val="101"/>
        <w:spacing w:line="460" w:lineRule="exact"/>
        <w:ind w:firstLine="480" w:firstLineChars="200"/>
        <w:rPr>
          <w:rFonts w:ascii="宋体" w:hAnsi="宋体" w:cs="宋体"/>
          <w:sz w:val="24"/>
        </w:rPr>
      </w:pPr>
      <w:r>
        <w:rPr>
          <w:rFonts w:hint="eastAsia" w:ascii="宋体" w:hAnsi="宋体" w:cs="宋体"/>
          <w:sz w:val="24"/>
        </w:rPr>
        <w:t>承包人负责照管工程及工程相关的材料、工程设备的起始时间：</w:t>
      </w:r>
      <w:r>
        <w:rPr>
          <w:rFonts w:hint="eastAsia" w:ascii="宋体" w:hAnsi="宋体" w:cs="宋体"/>
          <w:sz w:val="24"/>
          <w:u w:val="single"/>
        </w:rPr>
        <w:t>从发包人移交施工现场之日起到竣工交付使用，期间由承包人负责保养维护和管理，费用自理。</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4. 监理人 </w:t>
      </w:r>
    </w:p>
    <w:p>
      <w:pPr>
        <w:pStyle w:val="101"/>
        <w:spacing w:line="460" w:lineRule="exact"/>
        <w:ind w:firstLine="480" w:firstLineChars="200"/>
        <w:rPr>
          <w:rFonts w:ascii="宋体" w:hAnsi="宋体" w:cs="宋体"/>
          <w:sz w:val="24"/>
        </w:rPr>
      </w:pPr>
      <w:r>
        <w:rPr>
          <w:rFonts w:hint="eastAsia" w:ascii="宋体" w:hAnsi="宋体" w:cs="宋体"/>
          <w:sz w:val="24"/>
        </w:rPr>
        <w:t xml:space="preserve">4.1 监理人的一般规定 </w:t>
      </w:r>
    </w:p>
    <w:p>
      <w:pPr>
        <w:pStyle w:val="101"/>
        <w:spacing w:line="460" w:lineRule="exact"/>
        <w:ind w:firstLine="480" w:firstLineChars="200"/>
        <w:rPr>
          <w:rFonts w:ascii="宋体" w:hAnsi="宋体" w:cs="宋体"/>
          <w:sz w:val="24"/>
        </w:rPr>
      </w:pPr>
      <w:r>
        <w:rPr>
          <w:rFonts w:hint="eastAsia" w:ascii="宋体" w:hAnsi="宋体" w:cs="宋体"/>
          <w:sz w:val="24"/>
        </w:rPr>
        <w:t>关于监理人的监理内容：</w:t>
      </w:r>
      <w:r>
        <w:rPr>
          <w:rFonts w:hint="eastAsia" w:ascii="宋体" w:hAnsi="宋体" w:cs="宋体"/>
          <w:sz w:val="24"/>
          <w:u w:val="single"/>
        </w:rPr>
        <w:t xml:space="preserve">以监理合同为准。  </w:t>
      </w:r>
    </w:p>
    <w:p>
      <w:pPr>
        <w:pStyle w:val="101"/>
        <w:spacing w:line="460" w:lineRule="exact"/>
        <w:ind w:firstLine="480" w:firstLineChars="200"/>
        <w:rPr>
          <w:rFonts w:ascii="宋体" w:hAnsi="宋体" w:cs="宋体"/>
          <w:sz w:val="24"/>
        </w:rPr>
      </w:pPr>
      <w:r>
        <w:rPr>
          <w:rFonts w:hint="eastAsia" w:ascii="宋体" w:hAnsi="宋体" w:cs="宋体"/>
          <w:sz w:val="24"/>
        </w:rPr>
        <w:t>关于监理人的监理权限：</w:t>
      </w:r>
      <w:r>
        <w:rPr>
          <w:rFonts w:hint="eastAsia" w:ascii="宋体" w:hAnsi="宋体" w:cs="宋体"/>
          <w:sz w:val="24"/>
          <w:u w:val="single"/>
        </w:rPr>
        <w:t>(1)监理工程师应履行监理合同规定的职责。 (2)监理工程师可以行使合同规定或合同内含的权力，但如果发包人在委托监理工程师的条件中要求监理工程师在行使某种权力之前，需得到发包人的批准，则应取得这种批准。监理工程师行使发包人授予的职权，可代表发包人负责监督和检查工程的投资、质量、进度、安全等，及时向承包人提供供工作所需的指令。监理工程师无权免除合同任何一方在合同履行期间应尽的任何责任和义务。</w:t>
      </w:r>
      <w:r>
        <w:rPr>
          <w:rFonts w:hint="eastAsia" w:ascii="宋体" w:hAnsi="宋体" w:cs="宋体"/>
          <w:sz w:val="24"/>
        </w:rPr>
        <w:t xml:space="preserve"> </w:t>
      </w:r>
    </w:p>
    <w:p>
      <w:pPr>
        <w:pStyle w:val="101"/>
        <w:spacing w:line="460" w:lineRule="exact"/>
        <w:ind w:firstLine="540" w:firstLineChars="225"/>
        <w:rPr>
          <w:rFonts w:ascii="宋体" w:hAnsi="宋体" w:cs="宋体"/>
          <w:sz w:val="24"/>
        </w:rPr>
      </w:pPr>
      <w:r>
        <w:rPr>
          <w:rFonts w:hint="eastAsia" w:ascii="宋体" w:hAnsi="宋体" w:cs="宋体"/>
          <w:sz w:val="24"/>
        </w:rPr>
        <w:t>需要取得发包人批准才能行使的职权：</w:t>
      </w:r>
      <w:r>
        <w:rPr>
          <w:rFonts w:hint="eastAsia" w:ascii="宋体" w:hAnsi="宋体" w:cs="宋体"/>
          <w:sz w:val="24"/>
          <w:u w:val="single"/>
        </w:rPr>
        <w:t>工程变更、工程分包、发布开工令、暂时停工或复工令、审查批准技术规范（规格）或设计变更、工程价款（含合同单价和总价）的调整与支付。</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 xml:space="preserve">办公场所及发生费用由承包人承担，生活场所及发生费用由监理人承担。 </w:t>
      </w:r>
    </w:p>
    <w:p>
      <w:pPr>
        <w:pStyle w:val="101"/>
        <w:spacing w:line="460" w:lineRule="exact"/>
        <w:ind w:firstLine="480" w:firstLineChars="200"/>
        <w:rPr>
          <w:rFonts w:ascii="宋体" w:hAnsi="宋体" w:cs="宋体"/>
          <w:sz w:val="24"/>
        </w:rPr>
      </w:pPr>
      <w:r>
        <w:rPr>
          <w:rFonts w:hint="eastAsia" w:ascii="宋体" w:hAnsi="宋体" w:cs="宋体"/>
          <w:sz w:val="24"/>
        </w:rPr>
        <w:t xml:space="preserve">4.4 商定或确定 </w:t>
      </w:r>
    </w:p>
    <w:p>
      <w:pPr>
        <w:pStyle w:val="101"/>
        <w:spacing w:line="460" w:lineRule="exact"/>
        <w:ind w:firstLine="480" w:firstLineChars="200"/>
        <w:rPr>
          <w:rFonts w:ascii="宋体" w:hAnsi="宋体" w:cs="宋体"/>
          <w:sz w:val="24"/>
        </w:rPr>
      </w:pPr>
      <w:r>
        <w:rPr>
          <w:rFonts w:hint="eastAsia" w:ascii="宋体" w:hAnsi="宋体" w:cs="宋体"/>
          <w:sz w:val="24"/>
        </w:rPr>
        <w:t>在发包人和承包人不能通过协商达成一致意见时，发包人授权监理人对以下事项进行确定：</w:t>
      </w:r>
      <w:r>
        <w:rPr>
          <w:rFonts w:hint="eastAsia" w:ascii="宋体" w:hAnsi="宋体" w:cs="宋体"/>
          <w:sz w:val="24"/>
          <w:u w:val="single"/>
        </w:rPr>
        <w:t>无。</w:t>
      </w:r>
    </w:p>
    <w:p>
      <w:pPr>
        <w:pStyle w:val="101"/>
        <w:spacing w:line="460" w:lineRule="exact"/>
        <w:ind w:firstLine="480" w:firstLineChars="200"/>
        <w:rPr>
          <w:rFonts w:ascii="宋体" w:hAnsi="宋体" w:cs="宋体"/>
          <w:sz w:val="24"/>
        </w:rPr>
      </w:pPr>
      <w:r>
        <w:rPr>
          <w:rFonts w:hint="eastAsia" w:ascii="宋体" w:hAnsi="宋体" w:cs="宋体"/>
          <w:sz w:val="24"/>
        </w:rPr>
        <w:t xml:space="preserve">5. 工程质量 </w:t>
      </w:r>
    </w:p>
    <w:p>
      <w:pPr>
        <w:pStyle w:val="101"/>
        <w:spacing w:line="460" w:lineRule="exact"/>
        <w:ind w:firstLine="480" w:firstLineChars="200"/>
        <w:rPr>
          <w:rFonts w:ascii="宋体" w:hAnsi="宋体" w:cs="宋体"/>
          <w:sz w:val="24"/>
        </w:rPr>
      </w:pPr>
      <w:r>
        <w:rPr>
          <w:rFonts w:hint="eastAsia" w:ascii="宋体" w:hAnsi="宋体" w:cs="宋体"/>
          <w:sz w:val="24"/>
        </w:rPr>
        <w:t xml:space="preserve">5.1 质量要求 </w:t>
      </w:r>
    </w:p>
    <w:p>
      <w:pPr>
        <w:pStyle w:val="101"/>
        <w:spacing w:line="460" w:lineRule="exact"/>
        <w:ind w:firstLine="480" w:firstLineChars="200"/>
        <w:rPr>
          <w:rFonts w:ascii="宋体" w:hAnsi="宋体" w:cs="宋体"/>
          <w:sz w:val="24"/>
          <w:u w:val="single"/>
        </w:rPr>
      </w:pPr>
      <w:r>
        <w:rPr>
          <w:rFonts w:hint="eastAsia" w:ascii="宋体" w:hAnsi="宋体" w:cs="宋体"/>
          <w:sz w:val="24"/>
        </w:rPr>
        <w:t>5.1.1 特殊质量标准和要求：</w:t>
      </w:r>
      <w:r>
        <w:rPr>
          <w:rFonts w:hint="eastAsia" w:ascii="宋体" w:hAnsi="宋体" w:cs="宋体"/>
          <w:b/>
          <w:sz w:val="24"/>
          <w:u w:val="single"/>
        </w:rPr>
        <w:t>达到国家现行施工验收规范合格等级标准。达不到合同约定的质量目标，必须无条件修复至合同规定标准且工期不顺延，并向发包人承担合同总价款2%的违约金。</w:t>
      </w:r>
    </w:p>
    <w:p>
      <w:pPr>
        <w:pStyle w:val="101"/>
        <w:spacing w:line="460" w:lineRule="exact"/>
        <w:ind w:firstLine="480" w:firstLineChars="200"/>
        <w:rPr>
          <w:rFonts w:ascii="宋体" w:hAnsi="宋体" w:cs="宋体"/>
          <w:sz w:val="24"/>
          <w:u w:val="single"/>
        </w:rPr>
      </w:pPr>
      <w:r>
        <w:rPr>
          <w:rFonts w:hint="eastAsia" w:ascii="宋体" w:hAnsi="宋体" w:cs="宋体"/>
          <w:sz w:val="24"/>
        </w:rPr>
        <w:t>关于工程奖项的约定：</w:t>
      </w:r>
      <w:r>
        <w:rPr>
          <w:rFonts w:hint="eastAsia" w:ascii="宋体" w:hAnsi="宋体" w:cs="宋体"/>
          <w:sz w:val="24"/>
          <w:u w:val="single"/>
        </w:rPr>
        <w:t xml:space="preserve">   /    </w:t>
      </w:r>
    </w:p>
    <w:p>
      <w:pPr>
        <w:pStyle w:val="101"/>
        <w:spacing w:line="460" w:lineRule="exact"/>
        <w:ind w:firstLine="480" w:firstLineChars="200"/>
        <w:rPr>
          <w:rFonts w:ascii="宋体" w:hAnsi="宋体" w:cs="宋体"/>
          <w:sz w:val="24"/>
        </w:rPr>
      </w:pPr>
      <w:r>
        <w:rPr>
          <w:rFonts w:hint="eastAsia" w:ascii="宋体" w:hAnsi="宋体" w:cs="宋体"/>
          <w:sz w:val="24"/>
        </w:rPr>
        <w:t xml:space="preserve">5.3 隐蔽工程检查 </w:t>
      </w:r>
    </w:p>
    <w:p>
      <w:pPr>
        <w:pStyle w:val="101"/>
        <w:spacing w:line="460" w:lineRule="exact"/>
        <w:ind w:firstLine="480" w:firstLineChars="200"/>
        <w:rPr>
          <w:rFonts w:ascii="宋体" w:hAnsi="宋体" w:cs="宋体"/>
          <w:sz w:val="24"/>
          <w:u w:val="single"/>
        </w:rPr>
      </w:pPr>
      <w:r>
        <w:rPr>
          <w:rFonts w:hint="eastAsia" w:ascii="宋体" w:hAnsi="宋体" w:cs="宋体"/>
          <w:sz w:val="24"/>
        </w:rPr>
        <w:t>5.3.2承包人提前通知监理人隐蔽工程检查的期限的约定：按通用条款执行。</w:t>
      </w:r>
    </w:p>
    <w:p>
      <w:pPr>
        <w:pStyle w:val="101"/>
        <w:spacing w:line="460" w:lineRule="exact"/>
        <w:ind w:firstLine="480" w:firstLineChars="200"/>
        <w:rPr>
          <w:rFonts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24</w:t>
      </w:r>
      <w:r>
        <w:rPr>
          <w:rFonts w:hint="eastAsia" w:ascii="宋体" w:hAnsi="宋体" w:cs="宋体"/>
          <w:sz w:val="24"/>
        </w:rPr>
        <w:t xml:space="preserve">小时提交书面延期要求。 </w:t>
      </w:r>
    </w:p>
    <w:p>
      <w:pPr>
        <w:pStyle w:val="101"/>
        <w:spacing w:line="460" w:lineRule="exact"/>
        <w:ind w:firstLine="480" w:firstLineChars="200"/>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48</w:t>
      </w:r>
      <w:r>
        <w:rPr>
          <w:rFonts w:hint="eastAsia" w:ascii="宋体" w:hAnsi="宋体" w:cs="宋体"/>
          <w:sz w:val="24"/>
        </w:rPr>
        <w:t xml:space="preserve">小时。 </w:t>
      </w:r>
    </w:p>
    <w:p>
      <w:pPr>
        <w:pStyle w:val="101"/>
        <w:spacing w:line="460" w:lineRule="exact"/>
        <w:ind w:firstLine="480" w:firstLineChars="200"/>
        <w:rPr>
          <w:rFonts w:ascii="宋体" w:hAnsi="宋体" w:cs="宋体"/>
          <w:sz w:val="24"/>
        </w:rPr>
      </w:pPr>
      <w:r>
        <w:rPr>
          <w:rFonts w:hint="eastAsia" w:ascii="宋体" w:hAnsi="宋体" w:cs="宋体"/>
          <w:sz w:val="24"/>
        </w:rPr>
        <w:t xml:space="preserve">6. 安全文明施工与环境保护 </w:t>
      </w:r>
    </w:p>
    <w:p>
      <w:pPr>
        <w:pStyle w:val="101"/>
        <w:spacing w:line="460" w:lineRule="exact"/>
        <w:ind w:firstLine="480" w:firstLineChars="200"/>
        <w:rPr>
          <w:rFonts w:ascii="宋体" w:hAnsi="宋体" w:cs="宋体"/>
          <w:sz w:val="24"/>
        </w:rPr>
      </w:pPr>
      <w:r>
        <w:rPr>
          <w:rFonts w:hint="eastAsia" w:ascii="宋体" w:hAnsi="宋体" w:cs="宋体"/>
          <w:sz w:val="24"/>
        </w:rPr>
        <w:t xml:space="preserve">6.1 安全文明施工 </w:t>
      </w:r>
    </w:p>
    <w:p>
      <w:pPr>
        <w:pStyle w:val="101"/>
        <w:spacing w:line="460" w:lineRule="exact"/>
        <w:ind w:firstLine="480" w:firstLineChars="200"/>
        <w:rPr>
          <w:rFonts w:ascii="宋体" w:hAnsi="宋体" w:cs="宋体"/>
          <w:sz w:val="24"/>
        </w:rPr>
      </w:pPr>
      <w:r>
        <w:rPr>
          <w:rFonts w:hint="eastAsia" w:ascii="宋体" w:hAnsi="宋体" w:cs="宋体"/>
          <w:sz w:val="24"/>
        </w:rPr>
        <w:t>6.1.1 项目安全生产的达标目标及相应事项的约定：</w:t>
      </w:r>
      <w:r>
        <w:rPr>
          <w:rFonts w:hint="eastAsia" w:ascii="宋体" w:hAnsi="宋体" w:cs="宋体"/>
          <w:b/>
          <w:bCs/>
          <w:sz w:val="24"/>
          <w:u w:val="single"/>
        </w:rPr>
        <w:t>达到《建筑施工安全检查标准》（JGJ59-2011），严格按合同专用条款有关安全文明施工条款的约定执行，避免发生重大安全事故。</w:t>
      </w:r>
      <w:r>
        <w:rPr>
          <w:rFonts w:hint="eastAsia" w:ascii="宋体" w:hAnsi="宋体" w:cs="宋体"/>
          <w:b/>
          <w:sz w:val="24"/>
          <w:u w:val="single"/>
        </w:rPr>
        <w:t>安全生产目标未达到合格标准的，属承包人原因的，承包人向发包人支付合同总价款2%的违约金并承担安全事故由此引起的行政处罚及经济赔偿。同时，承包人在施工期间，应按下列要求做好安全文明施工：</w:t>
      </w:r>
      <w:r>
        <w:rPr>
          <w:rFonts w:hint="eastAsia" w:ascii="宋体" w:hAnsi="宋体" w:cs="宋体"/>
          <w:sz w:val="24"/>
        </w:rPr>
        <w:t xml:space="preserve">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(1)承包人应建立安全责任制，明确各部门安全工作的岗位责任人，建立健全正常运转的各种安全工作保证体系和规章制度，将安全生产目标分解落实到实处。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(2)承包人应按规定数量配置安全员。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(3)承包人在开工前须向质量安全监督机构提交备案书面资料、缴纳建筑施工安全技术服务费（《省物价局省建设厅关于建筑施工安全技术服务收费有关问题的通知》（鄂价房服[2007]177号），其费用已含包含在合同总价中。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(4)承包人在编制施工组织设计时，应当根据工程的特点编制相应的安全技术措施。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(5)承包人按有关技术安全和防护的规定组织施工生产，不得使用不合标准的防护器材、机具和材料。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(6)现场施工安全执行《建筑施工安全检查标准》（JGJ59-2011）和《宜昌市城区市政基础设施工程文明施工暂行规定》的规定，监理工程师每月20日前对工地现场进行月度安全文明检查。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(7)承包人应在施工现场采取维护安全、防范危险、预防火灾等措施，在特殊作业环境应对作业人员采取劳动保护措施。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(8)承包人应按规定对工程施工人员进行安全教育和管理。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(9)承包人应书面记录专项安全施工组织设计方案审查、安全检查、安全技术交底、安全隐患整改、安全教育等重要安全管理活动。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(10)施工范围内必须设置防护栏杆和安全警示标志，夜间必须红灯示警。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(11)施工现场内建筑材料、构件、料具应按总平面布局堆放，材料应悬挂名称、品种规格等内容标牌，并堆放整齐。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(12)在工程施工过程中，应每天清扫施工场地内的建筑垃圾，集中堆放并覆盖。在每道工序完成后三日内，必须将建筑垃圾清除，做到工完料尽场清。  </w:t>
      </w:r>
    </w:p>
    <w:p>
      <w:pPr>
        <w:pStyle w:val="101"/>
        <w:spacing w:line="460" w:lineRule="exact"/>
        <w:ind w:firstLine="360" w:firstLineChars="150"/>
        <w:rPr>
          <w:rFonts w:ascii="宋体" w:hAnsi="宋体" w:cs="宋体"/>
          <w:sz w:val="24"/>
          <w:u w:val="single"/>
        </w:rPr>
      </w:pPr>
      <w:r>
        <w:rPr>
          <w:rFonts w:hint="eastAsia" w:ascii="宋体" w:hAnsi="宋体" w:cs="宋体"/>
          <w:sz w:val="24"/>
          <w:u w:val="single"/>
        </w:rPr>
        <w:t xml:space="preserve"> (13)工程渣土应及时清运，暂未外运或留作回填使用的土方应集中堆放，并采取围护、覆盖等措施，防止流淌泥浆或扬尘。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(14)工程的阶段性施工或整体施工完毕后，要及时拆除临时设施，全面清理施工现场。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(15)工程施工全面完工后，承包人应将所有建筑垃圾清理完毕，并运出现场，费用由承包人承担。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(16)承包人不按文明施工要求和规定进行施工，在发包人发出通知 7日内，承包人应按要求进行整改，如承包人不整改或整改后仍达不到要求的，发包人有权委托第三人进行整改，所发生的费用由承包人承担，发包人可在应付的合同费用内直接抵扣。承包人应对施工图、技术资料做认真地复核和检查，有预见性地发现和指正设计缺陷和错误，提出能实质性地节约资金和缩短工期的建议和措施，并书面通知发包人。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(17)干扰与协调:A、承包人应当清楚地预计到施工期间对外界可能产生的不可避免的干扰，并为此保证主动努力减少这些干扰对外界的影响，且应当积极主动与外界进行协调。B、承包人应当清楚并充分预计到在工程前期和施工过程中施工场地障碍物拆迁等各种困难及其对工程进展的不利影响，甚至是严重影响。对此，承包人应积极主动做好协调、配合工作，并尽量创造各种条件和采取各种有效措施，以确保工程顺利推进及工期目标的实现。这种困难或影响不能免除承包人对工期目标未能实现的责任，并不得以此为理由要求顺延工期或增加各种费用。C、承包人应负责协调施工期间外界的各种干扰，协调不果，方可书面要求发包人出面协调。   </w:t>
      </w:r>
    </w:p>
    <w:p>
      <w:pPr>
        <w:pStyle w:val="101"/>
        <w:spacing w:line="460" w:lineRule="exact"/>
        <w:ind w:firstLine="480" w:firstLineChars="200"/>
        <w:rPr>
          <w:rFonts w:ascii="宋体" w:hAnsi="宋体" w:cs="宋体"/>
          <w:sz w:val="24"/>
        </w:rPr>
      </w:pPr>
      <w:r>
        <w:rPr>
          <w:rFonts w:hint="eastAsia" w:ascii="宋体" w:hAnsi="宋体" w:cs="宋体"/>
          <w:sz w:val="24"/>
          <w:u w:val="single"/>
        </w:rPr>
        <w:t>(18)承包人应负责现场全部作业的安全，在合同工程施工、完工及修补缺陷的整个工程期限内，全面负责所有留在现场上的人员的安全，保护其管辖范围的现场（包括某些尚未完工的和发包人尚未接管的工程）处于有条不紊和良好的状态。承包人合同总价中包括有关费用，并保证发包人免于受到或承担应由承包人负责的上述事项所引起的或与之有关的索赔、诉讼以及其它开支。</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6.1.4 关于治安保卫的特别约定：</w:t>
      </w:r>
      <w:r>
        <w:rPr>
          <w:rFonts w:hint="eastAsia" w:ascii="宋体" w:hAnsi="宋体" w:cs="宋体"/>
          <w:sz w:val="24"/>
          <w:u w:val="single"/>
        </w:rPr>
        <w:t xml:space="preserve"> 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关于编制施工场地治安管理计划的约定：</w:t>
      </w:r>
      <w:r>
        <w:rPr>
          <w:rFonts w:hint="eastAsia" w:ascii="宋体" w:hAnsi="宋体" w:cs="宋体"/>
          <w:sz w:val="24"/>
          <w:u w:val="single"/>
        </w:rPr>
        <w:t>开工前提供施工场地治安管理计划。</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6.1.5 文明施工 </w:t>
      </w:r>
    </w:p>
    <w:p>
      <w:pPr>
        <w:pStyle w:val="101"/>
        <w:spacing w:line="460" w:lineRule="exact"/>
        <w:ind w:firstLine="480" w:firstLineChars="200"/>
        <w:rPr>
          <w:rFonts w:ascii="宋体" w:hAnsi="宋体" w:cs="宋体"/>
          <w:sz w:val="24"/>
        </w:rPr>
      </w:pPr>
      <w:r>
        <w:rPr>
          <w:rFonts w:hint="eastAsia" w:ascii="宋体" w:hAnsi="宋体" w:cs="宋体"/>
          <w:sz w:val="24"/>
        </w:rPr>
        <w:t>合同当事人对文明施工的要求：</w:t>
      </w:r>
      <w:r>
        <w:rPr>
          <w:rFonts w:hint="eastAsia" w:ascii="宋体" w:hAnsi="宋体" w:cs="宋体"/>
          <w:sz w:val="24"/>
          <w:u w:val="single"/>
        </w:rPr>
        <w:t>严格按照湖北省、宜昌市文明施工现场标准组织施工。达不到上述要求的；施工及相关人员在施工现场发生事故的（如闹事、殴打、抢劫、偷盗事件发生，所造成的一切损失及后果由承包方承担）；承包人及其相关人员与监理人员、设计人员、发包方管理人员发生正面冲突的；影响施工正常进行的；发包人有权根据具体情况给与一定的经济处罚，情节严重的，发包人有权解除合同。</w:t>
      </w:r>
    </w:p>
    <w:p>
      <w:pPr>
        <w:pStyle w:val="101"/>
        <w:spacing w:line="460" w:lineRule="exact"/>
        <w:ind w:firstLine="480" w:firstLineChars="200"/>
        <w:rPr>
          <w:rFonts w:ascii="宋体" w:hAnsi="宋体" w:cs="宋体"/>
          <w:sz w:val="24"/>
        </w:rPr>
      </w:pPr>
      <w:r>
        <w:rPr>
          <w:rFonts w:hint="eastAsia" w:ascii="宋体" w:hAnsi="宋体" w:cs="宋体"/>
          <w:sz w:val="24"/>
        </w:rPr>
        <w:t>6.1.6 关于安全文明施工费支付比例和支付期限的约定：</w:t>
      </w:r>
      <w:r>
        <w:rPr>
          <w:rFonts w:hint="eastAsia" w:ascii="宋体" w:hAnsi="宋体" w:cs="宋体"/>
          <w:sz w:val="24"/>
          <w:u w:val="single"/>
        </w:rPr>
        <w:t>本工程所有安全施工费用、安全防护费用、意外伤害保险费用、安全文明施工措施费用均包含在合同价款中，须全部投入到安全文明生产中并做到专款专用。该项费用在施工过程中不因工程量或施工范围的变化调整，由承包人承担，在投标时已充分考虑并按有关规定计入总报价中。承包人在施工作业期间、完工及修补缺陷的工程期间，应做到安全文明施工，并达到建设行政主管部门的要求和标准。开工后28天内，发包人应向承包人支付安全文明施工费（已包含在工程预付款中）。</w:t>
      </w:r>
    </w:p>
    <w:p>
      <w:pPr>
        <w:pStyle w:val="101"/>
        <w:spacing w:line="460" w:lineRule="exact"/>
        <w:ind w:firstLine="480" w:firstLineChars="200"/>
        <w:rPr>
          <w:rFonts w:ascii="宋体" w:hAnsi="宋体" w:cs="宋体"/>
          <w:sz w:val="24"/>
        </w:rPr>
      </w:pPr>
      <w:r>
        <w:rPr>
          <w:rFonts w:hint="eastAsia" w:ascii="宋体" w:hAnsi="宋体" w:cs="宋体"/>
          <w:sz w:val="24"/>
        </w:rPr>
        <w:t>6.3环境保护</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A禁止用钢管、三合板、毛竹等搭设简易工棚。生活垃圾应集中存放，按时清理，不得混入渣土或建筑垃圾。</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B、工程施工应尽量减少对周边环境的影响。施工现场应做到：</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①按照现行国家标准《建筑施工场界噪声限值及其测量方法(GB12523-12524)制定降噪措施。在规定的作业时间和范围内，合理安排作业内容，使用低噪声的 施工机械设备，采用隔音措施，使施工产生的噪声符合上述国家标准要求。确需夜间施工的，须经有关管理部门批准。</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C、本工程禁止承包人车辆带泥上路，因承包人原因导致道路出现污染，承包人应负责立即清扫干净。除自行承担引起的行政处罚及赔偿，还须向发包人支付2000元/次的违约金。</w:t>
      </w:r>
    </w:p>
    <w:p>
      <w:pPr>
        <w:pStyle w:val="101"/>
        <w:spacing w:line="460" w:lineRule="exact"/>
        <w:ind w:firstLine="480" w:firstLineChars="200"/>
        <w:rPr>
          <w:rFonts w:ascii="宋体" w:hAnsi="宋体" w:cs="宋体"/>
          <w:sz w:val="24"/>
        </w:rPr>
      </w:pPr>
      <w:r>
        <w:rPr>
          <w:rFonts w:hint="eastAsia" w:ascii="宋体" w:hAnsi="宋体" w:cs="宋体"/>
          <w:sz w:val="24"/>
        </w:rPr>
        <w:t>6.3.3发包人施工现场扬尘污染防治的义务与责任：</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项目办理安全监督手续时，发包人应当按照规定向监督管理部门报送施工现场扬尘污染防治方案。发包人是建设工程施工现场扬尘污染防治的第一责任人，承包人对建筑工程施工现场扬尘治理负总责。发包人及其委托的监理单位必须要求承包人制定施工现场扬尘污染防治方案并实施。承包人按照承包范围落实各项扬尘污染防治措施。相关责任单位应当明确专人负责扬尘污染防治的具体管理工作，并在施工现场公示。相关责任单位必须签订《宜昌市建设工程施工扬尘整治责任书》，并提交“安全资金使用计划”，其中必须涵盖施工扬尘治理设施、人员投入计划。 </w:t>
      </w:r>
    </w:p>
    <w:p>
      <w:pPr>
        <w:pStyle w:val="101"/>
        <w:spacing w:line="460" w:lineRule="exact"/>
        <w:ind w:firstLine="480" w:firstLineChars="200"/>
        <w:rPr>
          <w:rFonts w:ascii="宋体" w:hAnsi="宋体" w:cs="宋体"/>
          <w:sz w:val="24"/>
        </w:rPr>
      </w:pPr>
      <w:r>
        <w:rPr>
          <w:rFonts w:hint="eastAsia" w:ascii="宋体" w:hAnsi="宋体" w:cs="宋体"/>
          <w:sz w:val="24"/>
        </w:rPr>
        <w:t>6.4安全文明施工费和扬尘污染防治措施费的支付及使用</w:t>
      </w:r>
    </w:p>
    <w:p>
      <w:pPr>
        <w:pStyle w:val="101"/>
        <w:spacing w:line="460" w:lineRule="exact"/>
        <w:ind w:firstLine="480" w:firstLineChars="200"/>
        <w:rPr>
          <w:rFonts w:ascii="宋体" w:hAnsi="宋体" w:cs="宋体"/>
          <w:sz w:val="24"/>
        </w:rPr>
      </w:pPr>
      <w:r>
        <w:rPr>
          <w:rFonts w:hint="eastAsia" w:ascii="宋体" w:hAnsi="宋体" w:cs="宋体"/>
          <w:sz w:val="24"/>
        </w:rPr>
        <w:t>6.4.1安全文明施工中应明确施工扬尘污染防治措施要求及标准、合同双方关于施工现场扬尘污染防治义务与责任。承包方要确保扬尘污染防治措施增加费专款专用。施工单位应当确保安全防护、文明施工措施费专款专用，在财务管理中单独列出安全防护、文明施工措施费用清单备查。本工程所有安全施工费用、安全防护费用、意外伤害保险费用、安全文明施工措施费用、建筑施工安全技术服务费用和扬尘污染防治措施费均包含在合同价款中，由承包人承担，在投标时应充分考虑并结合企业自身进行报价，发包人不因以上费用进行合同调整。承包人在施工作业期间、完工及修补缺陷的工程期间，应做到安全文明施工和扬尘污染的防治，并达到建设行政主管部门的要求和标准，费用由承包人承担并包含在合同中不予调整。</w:t>
      </w:r>
    </w:p>
    <w:p>
      <w:pPr>
        <w:pStyle w:val="101"/>
        <w:spacing w:line="460" w:lineRule="exact"/>
        <w:ind w:firstLine="480" w:firstLineChars="200"/>
        <w:rPr>
          <w:rFonts w:ascii="宋体" w:hAnsi="宋体" w:cs="宋体"/>
          <w:sz w:val="24"/>
        </w:rPr>
      </w:pPr>
      <w:r>
        <w:rPr>
          <w:rFonts w:hint="eastAsia" w:ascii="宋体" w:hAnsi="宋体" w:cs="宋体"/>
          <w:sz w:val="24"/>
        </w:rPr>
        <w:t>安全文明施工费和扬尘污染防治措施费的支付及条件：安全文明施工费和扬尘污染防治措施费并入工程进度款支付。支付前，发包人或监理工程师对承包人施工现场安全文明施工和扬尘污染的防治情况进行检查。凡因承包人原因导致有施工现场未达到现行安全文明施工标准和扬尘专项整治的通知规定的，暂停支付当期工程进度款，并承担由此引起的行政处罚及赔偿。待承包人整改完毕，经发包人或监理工程师复查合格后支付工程进度款。</w:t>
      </w:r>
    </w:p>
    <w:p>
      <w:pPr>
        <w:pStyle w:val="101"/>
        <w:spacing w:line="460" w:lineRule="exact"/>
        <w:ind w:firstLine="480" w:firstLineChars="200"/>
        <w:rPr>
          <w:rFonts w:ascii="宋体" w:hAnsi="宋体" w:cs="宋体"/>
          <w:sz w:val="24"/>
        </w:rPr>
      </w:pPr>
      <w:r>
        <w:rPr>
          <w:rFonts w:hint="eastAsia" w:ascii="宋体" w:hAnsi="宋体" w:cs="宋体"/>
          <w:sz w:val="24"/>
        </w:rPr>
        <w:t xml:space="preserve">6.1.8事故处理 </w:t>
      </w:r>
    </w:p>
    <w:p>
      <w:pPr>
        <w:pStyle w:val="101"/>
        <w:spacing w:line="460" w:lineRule="exact"/>
        <w:ind w:firstLine="480" w:firstLineChars="200"/>
        <w:rPr>
          <w:rFonts w:ascii="宋体" w:hAnsi="宋体" w:cs="宋体"/>
          <w:sz w:val="24"/>
        </w:rPr>
      </w:pPr>
      <w:r>
        <w:rPr>
          <w:rFonts w:hint="eastAsia" w:ascii="宋体" w:hAnsi="宋体" w:cs="宋体"/>
          <w:sz w:val="24"/>
        </w:rPr>
        <w:t>（1）如发生安全事故，除按法定程序办理有关事宜外，还必须按以下程序进行处理：</w:t>
      </w:r>
    </w:p>
    <w:p>
      <w:pPr>
        <w:pStyle w:val="101"/>
        <w:spacing w:line="460" w:lineRule="exact"/>
        <w:ind w:firstLine="480" w:firstLineChars="200"/>
        <w:rPr>
          <w:rFonts w:ascii="宋体" w:hAnsi="宋体" w:cs="宋体"/>
          <w:sz w:val="24"/>
        </w:rPr>
      </w:pPr>
      <w:r>
        <w:rPr>
          <w:rFonts w:hint="eastAsia" w:ascii="宋体" w:hAnsi="宋体" w:cs="宋体"/>
          <w:sz w:val="24"/>
        </w:rPr>
        <w:t>（2）报告安全事故：</w:t>
      </w:r>
      <w:r>
        <w:rPr>
          <w:rFonts w:hint="eastAsia" w:ascii="宋体" w:hAnsi="宋体" w:cs="宋体"/>
          <w:sz w:val="24"/>
          <w:u w:val="single"/>
        </w:rPr>
        <w:t>安全事故发生后，承包人应在 1小时内用最快的信息传递手段，将发生事故的时间、地点、伤亡人数、事故原因等情况，报监理工程师和发包人。</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（3）事故处理：</w:t>
      </w:r>
      <w:r>
        <w:rPr>
          <w:rFonts w:hint="eastAsia" w:ascii="宋体" w:hAnsi="宋体" w:cs="宋体"/>
          <w:sz w:val="24"/>
          <w:u w:val="single"/>
        </w:rPr>
        <w:t>承包人负责抢救伤员、排除险情，防止事故蔓延扩大，保护好现场，并做好标识；并启动保险理赔程序。</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（4）事故调查：</w:t>
      </w:r>
      <w:r>
        <w:rPr>
          <w:rFonts w:hint="eastAsia" w:ascii="宋体" w:hAnsi="宋体" w:cs="宋体"/>
          <w:sz w:val="24"/>
          <w:u w:val="single"/>
        </w:rPr>
        <w:t>承包人应组织内部技术安全、质量部门的人员组成调查组，开展调查，并配合做好发包人或政府有关部门组织的调查工作</w:t>
      </w:r>
      <w:r>
        <w:rPr>
          <w:rFonts w:hint="eastAsia" w:ascii="宋体" w:hAnsi="宋体" w:cs="宋体"/>
          <w:sz w:val="24"/>
        </w:rPr>
        <w:t>。</w:t>
      </w:r>
    </w:p>
    <w:p>
      <w:pPr>
        <w:pStyle w:val="101"/>
        <w:spacing w:line="460" w:lineRule="exact"/>
        <w:ind w:firstLine="480" w:firstLineChars="200"/>
        <w:rPr>
          <w:rFonts w:ascii="宋体" w:hAnsi="宋体" w:cs="宋体"/>
          <w:sz w:val="24"/>
        </w:rPr>
      </w:pPr>
      <w:r>
        <w:rPr>
          <w:rFonts w:hint="eastAsia" w:ascii="宋体" w:hAnsi="宋体" w:cs="宋体"/>
          <w:sz w:val="24"/>
        </w:rPr>
        <w:t>（5）调查报告：</w:t>
      </w:r>
      <w:r>
        <w:rPr>
          <w:rFonts w:hint="eastAsia" w:ascii="宋体" w:hAnsi="宋体" w:cs="宋体"/>
          <w:sz w:val="24"/>
          <w:u w:val="single"/>
        </w:rPr>
        <w:t xml:space="preserve">承包人应把事故发生经过、原因、性质、损失、责任、处理意见、纠正和预防措施撰写成调查报告，送监理工程师会审后报发包人。 </w:t>
      </w:r>
    </w:p>
    <w:p>
      <w:pPr>
        <w:pStyle w:val="101"/>
        <w:spacing w:line="460" w:lineRule="exact"/>
        <w:ind w:firstLine="480" w:firstLineChars="200"/>
        <w:rPr>
          <w:rFonts w:ascii="宋体" w:hAnsi="宋体" w:cs="宋体"/>
          <w:sz w:val="24"/>
        </w:rPr>
      </w:pPr>
      <w:r>
        <w:rPr>
          <w:rFonts w:hint="eastAsia" w:ascii="宋体" w:hAnsi="宋体" w:cs="宋体"/>
          <w:sz w:val="24"/>
        </w:rPr>
        <w:t xml:space="preserve">7. 工期和进度 </w:t>
      </w:r>
    </w:p>
    <w:p>
      <w:pPr>
        <w:pStyle w:val="101"/>
        <w:spacing w:line="460" w:lineRule="exact"/>
        <w:ind w:firstLine="480" w:firstLineChars="200"/>
        <w:rPr>
          <w:rFonts w:ascii="宋体" w:hAnsi="宋体" w:cs="宋体"/>
          <w:sz w:val="24"/>
        </w:rPr>
      </w:pPr>
      <w:r>
        <w:rPr>
          <w:rFonts w:hint="eastAsia" w:ascii="宋体" w:hAnsi="宋体" w:cs="宋体"/>
          <w:sz w:val="24"/>
        </w:rPr>
        <w:t xml:space="preserve">7.1 施工组织设计 </w:t>
      </w:r>
    </w:p>
    <w:p>
      <w:pPr>
        <w:pStyle w:val="101"/>
        <w:spacing w:line="460" w:lineRule="exact"/>
        <w:ind w:firstLine="480" w:firstLineChars="200"/>
        <w:rPr>
          <w:rFonts w:ascii="宋体" w:hAnsi="宋体" w:cs="宋体"/>
          <w:sz w:val="24"/>
        </w:rPr>
      </w:pPr>
      <w:r>
        <w:rPr>
          <w:rFonts w:hint="eastAsia" w:ascii="宋体" w:hAnsi="宋体" w:cs="宋体"/>
          <w:sz w:val="24"/>
        </w:rPr>
        <w:t xml:space="preserve">7.1.1 合同当事人约定的施工组织设计应包括的其他内容： </w:t>
      </w:r>
      <w:r>
        <w:rPr>
          <w:rFonts w:hint="eastAsia" w:ascii="宋体" w:hAnsi="宋体" w:cs="宋体"/>
          <w:sz w:val="24"/>
          <w:u w:val="single"/>
        </w:rPr>
        <w:t>以谈判文件和通用条款的规定为准。</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7.1.2 施工组织设计的提交和修改 </w:t>
      </w:r>
    </w:p>
    <w:p>
      <w:pPr>
        <w:pStyle w:val="101"/>
        <w:spacing w:line="460" w:lineRule="exact"/>
        <w:ind w:firstLine="480" w:firstLineChars="200"/>
        <w:rPr>
          <w:rFonts w:ascii="宋体" w:hAnsi="宋体" w:cs="宋体"/>
          <w:sz w:val="24"/>
        </w:rPr>
      </w:pPr>
      <w:r>
        <w:rPr>
          <w:rFonts w:hint="eastAsia" w:ascii="宋体" w:hAnsi="宋体" w:cs="宋体"/>
          <w:sz w:val="24"/>
        </w:rPr>
        <w:t xml:space="preserve">承包人提交详细施工组织设计的期限的约定： </w:t>
      </w:r>
      <w:r>
        <w:rPr>
          <w:rFonts w:hint="eastAsia" w:ascii="宋体" w:hAnsi="宋体" w:cs="宋体"/>
          <w:sz w:val="24"/>
          <w:u w:val="single"/>
        </w:rPr>
        <w:t>开工前3天。</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发包人和监理人在收到详细的施工组织设计后确认或提出修改意见的期限：</w:t>
      </w:r>
      <w:r>
        <w:rPr>
          <w:rFonts w:hint="eastAsia" w:ascii="宋体" w:hAnsi="宋体" w:cs="宋体"/>
          <w:sz w:val="24"/>
          <w:u w:val="single"/>
        </w:rPr>
        <w:t xml:space="preserve"> 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7.2 施工进度计划 </w:t>
      </w:r>
    </w:p>
    <w:p>
      <w:pPr>
        <w:pStyle w:val="101"/>
        <w:spacing w:line="460" w:lineRule="exact"/>
        <w:ind w:firstLine="480" w:firstLineChars="200"/>
        <w:rPr>
          <w:rFonts w:ascii="宋体" w:hAnsi="宋体" w:cs="宋体"/>
          <w:sz w:val="24"/>
        </w:rPr>
      </w:pPr>
      <w:r>
        <w:rPr>
          <w:rFonts w:hint="eastAsia" w:ascii="宋体" w:hAnsi="宋体" w:cs="宋体"/>
          <w:sz w:val="24"/>
        </w:rPr>
        <w:t xml:space="preserve">7.2.2 施工进度计划的修订 </w:t>
      </w:r>
    </w:p>
    <w:p>
      <w:pPr>
        <w:pStyle w:val="101"/>
        <w:spacing w:line="460" w:lineRule="exact"/>
        <w:ind w:firstLine="480" w:firstLineChars="200"/>
        <w:rPr>
          <w:rFonts w:ascii="宋体" w:hAnsi="宋体" w:cs="宋体"/>
          <w:sz w:val="24"/>
        </w:rPr>
      </w:pPr>
      <w:r>
        <w:rPr>
          <w:rFonts w:hint="eastAsia" w:ascii="宋体" w:hAnsi="宋体" w:cs="宋体"/>
          <w:sz w:val="24"/>
        </w:rPr>
        <w:t>发包人和监理人在收到修订的施工进度计划后确认或提出修改意见的期限：</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7.3 开工 </w:t>
      </w:r>
    </w:p>
    <w:p>
      <w:pPr>
        <w:pStyle w:val="101"/>
        <w:spacing w:line="460" w:lineRule="exact"/>
        <w:ind w:firstLine="480" w:firstLineChars="200"/>
        <w:rPr>
          <w:rFonts w:ascii="宋体" w:hAnsi="宋体" w:cs="宋体"/>
          <w:sz w:val="24"/>
        </w:rPr>
      </w:pPr>
      <w:r>
        <w:rPr>
          <w:rFonts w:hint="eastAsia" w:ascii="宋体" w:hAnsi="宋体" w:cs="宋体"/>
          <w:sz w:val="24"/>
        </w:rPr>
        <w:t xml:space="preserve">7.3.1 开工准备  </w:t>
      </w:r>
    </w:p>
    <w:p>
      <w:pPr>
        <w:pStyle w:val="101"/>
        <w:spacing w:line="460" w:lineRule="exact"/>
        <w:ind w:firstLine="480" w:firstLineChars="200"/>
        <w:rPr>
          <w:rFonts w:ascii="宋体" w:hAnsi="宋体" w:cs="宋体"/>
          <w:sz w:val="24"/>
        </w:rPr>
      </w:pPr>
      <w:r>
        <w:rPr>
          <w:rFonts w:hint="eastAsia" w:ascii="宋体" w:hAnsi="宋体" w:cs="宋体"/>
          <w:sz w:val="24"/>
        </w:rPr>
        <w:t>关于承包人提交工程开工报审表的期限：</w:t>
      </w:r>
      <w:r>
        <w:rPr>
          <w:rFonts w:hint="eastAsia" w:ascii="宋体" w:hAnsi="宋体" w:cs="宋体"/>
          <w:sz w:val="24"/>
          <w:u w:val="single"/>
        </w:rPr>
        <w:t>开工前7天。</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（1）发包人最迟在开工前 14天提供相关已有技术资料；（2）发包人在开工前3天组织图纸会审和设计交底。</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7.3.2开工通知 </w:t>
      </w:r>
    </w:p>
    <w:p>
      <w:pPr>
        <w:pStyle w:val="101"/>
        <w:spacing w:line="460" w:lineRule="exact"/>
        <w:ind w:firstLine="480" w:firstLineChars="200"/>
        <w:rPr>
          <w:rFonts w:ascii="宋体" w:hAnsi="宋体" w:cs="宋体"/>
          <w:sz w:val="24"/>
        </w:rPr>
      </w:pPr>
      <w:r>
        <w:rPr>
          <w:rFonts w:hint="eastAsia" w:ascii="宋体" w:hAnsi="宋体" w:cs="宋体"/>
          <w:sz w:val="24"/>
        </w:rPr>
        <w:t xml:space="preserve">因发包人原因造成监理人未能在计划开工日期之日起180天内发出开工通知的，工期顺延。 </w:t>
      </w:r>
    </w:p>
    <w:p>
      <w:pPr>
        <w:pStyle w:val="101"/>
        <w:spacing w:line="460" w:lineRule="exact"/>
        <w:ind w:firstLine="480" w:firstLineChars="200"/>
        <w:rPr>
          <w:rFonts w:ascii="宋体" w:hAnsi="宋体" w:cs="宋体"/>
          <w:sz w:val="24"/>
        </w:rPr>
      </w:pPr>
      <w:r>
        <w:rPr>
          <w:rFonts w:hint="eastAsia" w:ascii="宋体" w:hAnsi="宋体" w:cs="宋体"/>
          <w:sz w:val="24"/>
        </w:rPr>
        <w:t xml:space="preserve">7.4 测量放线 </w:t>
      </w:r>
    </w:p>
    <w:p>
      <w:pPr>
        <w:pStyle w:val="101"/>
        <w:spacing w:line="460" w:lineRule="exact"/>
        <w:ind w:firstLine="480" w:firstLineChars="200"/>
        <w:rPr>
          <w:rFonts w:ascii="宋体" w:hAnsi="宋体" w:cs="宋体"/>
          <w:sz w:val="24"/>
        </w:rPr>
      </w:pPr>
      <w:r>
        <w:rPr>
          <w:rFonts w:hint="eastAsia" w:ascii="宋体" w:hAnsi="宋体" w:cs="宋体"/>
          <w:sz w:val="24"/>
        </w:rPr>
        <w:t xml:space="preserve">7.4.1发包人通过监理人向承包人提供测量基准点、基准线和水准点及其书面资料的期限：同通用条款。 </w:t>
      </w:r>
    </w:p>
    <w:p>
      <w:pPr>
        <w:pStyle w:val="101"/>
        <w:spacing w:line="460" w:lineRule="exact"/>
        <w:ind w:firstLine="480" w:firstLineChars="200"/>
        <w:rPr>
          <w:rFonts w:ascii="宋体" w:hAnsi="宋体" w:cs="宋体"/>
          <w:sz w:val="24"/>
        </w:rPr>
      </w:pPr>
      <w:r>
        <w:rPr>
          <w:rFonts w:hint="eastAsia" w:ascii="宋体" w:hAnsi="宋体" w:cs="宋体"/>
          <w:sz w:val="24"/>
        </w:rPr>
        <w:t xml:space="preserve">7.5 工期延误 </w:t>
      </w:r>
    </w:p>
    <w:p>
      <w:pPr>
        <w:pStyle w:val="101"/>
        <w:spacing w:line="460" w:lineRule="exact"/>
        <w:ind w:firstLine="480" w:firstLineChars="200"/>
        <w:rPr>
          <w:rFonts w:ascii="宋体" w:hAnsi="宋体" w:cs="宋体"/>
          <w:sz w:val="24"/>
        </w:rPr>
      </w:pPr>
      <w:r>
        <w:rPr>
          <w:rFonts w:hint="eastAsia" w:ascii="宋体" w:hAnsi="宋体" w:cs="宋体"/>
          <w:sz w:val="24"/>
        </w:rPr>
        <w:t xml:space="preserve">7.5.1 因发包人原因导致工期延误 </w:t>
      </w:r>
    </w:p>
    <w:p>
      <w:pPr>
        <w:pStyle w:val="101"/>
        <w:spacing w:line="460" w:lineRule="exact"/>
        <w:ind w:firstLine="480" w:firstLineChars="200"/>
        <w:rPr>
          <w:rFonts w:ascii="宋体" w:hAnsi="宋体" w:cs="宋体"/>
          <w:sz w:val="24"/>
        </w:rPr>
      </w:pPr>
      <w:r>
        <w:rPr>
          <w:rFonts w:hint="eastAsia" w:ascii="宋体" w:hAnsi="宋体" w:cs="宋体"/>
          <w:sz w:val="24"/>
        </w:rPr>
        <w:t>因发包人原因导致工期延误的其他情形：</w:t>
      </w:r>
      <w:r>
        <w:rPr>
          <w:rFonts w:hint="eastAsia" w:ascii="宋体" w:hAnsi="宋体" w:cs="宋体"/>
          <w:sz w:val="24"/>
          <w:u w:val="single"/>
        </w:rPr>
        <w:t>（1）重大设计变更影响到工程进度的；（2）不可抗力；以上情形应在发生后七天内按规定程序办理签证，否则不予认可。</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7.5.2 因承包人原因导致工期延误 </w:t>
      </w:r>
    </w:p>
    <w:p>
      <w:pPr>
        <w:pStyle w:val="101"/>
        <w:spacing w:line="460" w:lineRule="exact"/>
        <w:ind w:firstLine="480" w:firstLineChars="200"/>
        <w:rPr>
          <w:rFonts w:ascii="宋体" w:hAnsi="宋体" w:cs="宋体"/>
          <w:sz w:val="24"/>
          <w:u w:val="single"/>
        </w:rPr>
      </w:pPr>
      <w:r>
        <w:rPr>
          <w:rFonts w:hint="eastAsia" w:ascii="宋体" w:hAnsi="宋体" w:cs="宋体"/>
          <w:sz w:val="24"/>
        </w:rPr>
        <w:t>因承包人原因造成工期延误，逾期竣工违约金的计算方法为：</w:t>
      </w:r>
      <w:r>
        <w:rPr>
          <w:rFonts w:hint="eastAsia" w:ascii="宋体" w:hAnsi="宋体" w:cs="宋体"/>
          <w:b/>
          <w:sz w:val="24"/>
          <w:u w:val="single"/>
        </w:rPr>
        <w:t>按1000元/天计取违约金</w:t>
      </w:r>
      <w:r>
        <w:rPr>
          <w:rFonts w:hint="eastAsia" w:ascii="宋体" w:hAnsi="宋体" w:cs="宋体"/>
          <w:sz w:val="24"/>
          <w:u w:val="single"/>
        </w:rPr>
        <w:t>。</w:t>
      </w:r>
    </w:p>
    <w:p>
      <w:pPr>
        <w:pStyle w:val="101"/>
        <w:spacing w:line="460" w:lineRule="exact"/>
        <w:ind w:firstLine="480" w:firstLineChars="200"/>
        <w:rPr>
          <w:rFonts w:ascii="宋体" w:hAnsi="宋体" w:cs="宋体"/>
          <w:sz w:val="24"/>
          <w:u w:val="single"/>
        </w:rPr>
      </w:pPr>
      <w:r>
        <w:rPr>
          <w:rFonts w:hint="eastAsia" w:ascii="宋体" w:hAnsi="宋体" w:cs="宋体"/>
          <w:sz w:val="24"/>
        </w:rPr>
        <w:t>施工现场下达开工令后，因承包人原因未按期进场的：</w:t>
      </w:r>
      <w:r>
        <w:rPr>
          <w:rFonts w:hint="eastAsia" w:ascii="宋体" w:hAnsi="宋体" w:cs="宋体"/>
          <w:b/>
          <w:sz w:val="24"/>
          <w:u w:val="single"/>
        </w:rPr>
        <w:t>按每延迟一天1000元计算违约金</w:t>
      </w:r>
      <w:r>
        <w:rPr>
          <w:rFonts w:hint="eastAsia" w:ascii="宋体" w:hAnsi="宋体" w:cs="宋体"/>
          <w:sz w:val="24"/>
          <w:u w:val="single"/>
        </w:rPr>
        <w:t>。</w:t>
      </w:r>
    </w:p>
    <w:p>
      <w:pPr>
        <w:pStyle w:val="101"/>
        <w:spacing w:line="460" w:lineRule="exact"/>
        <w:ind w:firstLine="480" w:firstLineChars="200"/>
        <w:rPr>
          <w:rFonts w:ascii="宋体" w:hAnsi="宋体" w:cs="宋体"/>
          <w:sz w:val="24"/>
        </w:rPr>
      </w:pPr>
      <w:r>
        <w:rPr>
          <w:rFonts w:hint="eastAsia" w:ascii="宋体" w:hAnsi="宋体" w:cs="宋体"/>
          <w:sz w:val="24"/>
        </w:rPr>
        <w:t>因承包人原因造成工期延误或未按期进场造成工期延误，逾</w:t>
      </w:r>
      <w:bookmarkStart w:id="360" w:name="_Toc318581171"/>
      <w:bookmarkStart w:id="361" w:name="_Toc312678014"/>
      <w:r>
        <w:rPr>
          <w:rFonts w:hint="eastAsia" w:ascii="宋体" w:hAnsi="宋体" w:cs="宋体"/>
          <w:sz w:val="24"/>
        </w:rPr>
        <w:t>期竣工违约金的上限：</w:t>
      </w:r>
      <w:r>
        <w:rPr>
          <w:rFonts w:hint="eastAsia" w:ascii="宋体" w:hAnsi="宋体" w:cs="宋体"/>
          <w:b/>
          <w:sz w:val="24"/>
          <w:u w:val="single"/>
        </w:rPr>
        <w:t>合同总价款的10%</w:t>
      </w:r>
      <w:r>
        <w:rPr>
          <w:rFonts w:hint="eastAsia" w:ascii="宋体" w:hAnsi="宋体" w:cs="宋体"/>
          <w:sz w:val="24"/>
          <w:u w:val="single"/>
        </w:rPr>
        <w:t>。</w:t>
      </w:r>
    </w:p>
    <w:bookmarkEnd w:id="360"/>
    <w:bookmarkEnd w:id="361"/>
    <w:p>
      <w:pPr>
        <w:pStyle w:val="101"/>
        <w:spacing w:line="460" w:lineRule="exact"/>
        <w:ind w:firstLine="480" w:firstLineChars="200"/>
        <w:rPr>
          <w:rFonts w:ascii="宋体" w:hAnsi="宋体" w:cs="宋体"/>
          <w:sz w:val="24"/>
        </w:rPr>
      </w:pPr>
      <w:r>
        <w:rPr>
          <w:rFonts w:hint="eastAsia" w:ascii="宋体" w:hAnsi="宋体" w:cs="宋体"/>
          <w:sz w:val="24"/>
        </w:rPr>
        <w:t xml:space="preserve">7.6 不利物质条件 </w:t>
      </w:r>
    </w:p>
    <w:p>
      <w:pPr>
        <w:pStyle w:val="101"/>
        <w:spacing w:line="460" w:lineRule="exact"/>
        <w:ind w:firstLine="480" w:firstLineChars="200"/>
        <w:rPr>
          <w:rFonts w:ascii="宋体" w:hAnsi="宋体" w:cs="宋体"/>
          <w:sz w:val="24"/>
        </w:rPr>
      </w:pPr>
      <w:r>
        <w:rPr>
          <w:rFonts w:hint="eastAsia" w:ascii="宋体" w:hAnsi="宋体" w:cs="宋体"/>
          <w:sz w:val="24"/>
        </w:rPr>
        <w:t>不利物质条件的其他情形和有关约定：</w:t>
      </w:r>
      <w:r>
        <w:rPr>
          <w:rFonts w:hint="eastAsia" w:ascii="宋体" w:hAnsi="宋体" w:cs="宋体"/>
          <w:sz w:val="24"/>
          <w:u w:val="single"/>
        </w:rPr>
        <w:t>无</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7.7 异常恶劣的气候条件 </w:t>
      </w:r>
    </w:p>
    <w:p>
      <w:pPr>
        <w:pStyle w:val="101"/>
        <w:spacing w:line="460" w:lineRule="exact"/>
        <w:ind w:firstLine="480" w:firstLineChars="200"/>
        <w:rPr>
          <w:rFonts w:ascii="宋体" w:hAnsi="宋体" w:cs="宋体"/>
          <w:sz w:val="24"/>
        </w:rPr>
      </w:pPr>
      <w:r>
        <w:rPr>
          <w:rFonts w:hint="eastAsia" w:ascii="宋体" w:hAnsi="宋体" w:cs="宋体"/>
          <w:sz w:val="24"/>
        </w:rPr>
        <w:t xml:space="preserve">发包人和承包人同意以下情形视为异常恶劣的气候条件： </w:t>
      </w:r>
    </w:p>
    <w:p>
      <w:pPr>
        <w:pStyle w:val="101"/>
        <w:spacing w:line="460" w:lineRule="exact"/>
        <w:ind w:firstLine="480" w:firstLineChars="200"/>
        <w:rPr>
          <w:rFonts w:ascii="宋体" w:hAnsi="宋体" w:cs="宋体"/>
          <w:sz w:val="24"/>
        </w:rPr>
      </w:pPr>
      <w:r>
        <w:rPr>
          <w:rFonts w:hint="eastAsia" w:ascii="宋体" w:hAnsi="宋体" w:cs="宋体"/>
          <w:sz w:val="24"/>
        </w:rPr>
        <w:t xml:space="preserve">（1）百年一遇以上等级的风、雨、雪自然灾害； </w:t>
      </w:r>
    </w:p>
    <w:p>
      <w:pPr>
        <w:pStyle w:val="101"/>
        <w:spacing w:line="460" w:lineRule="exact"/>
        <w:ind w:firstLine="480" w:firstLineChars="200"/>
        <w:rPr>
          <w:rFonts w:ascii="宋体" w:hAnsi="宋体" w:cs="宋体"/>
          <w:sz w:val="24"/>
        </w:rPr>
      </w:pPr>
      <w:r>
        <w:rPr>
          <w:rFonts w:hint="eastAsia" w:ascii="宋体" w:hAnsi="宋体" w:cs="宋体"/>
          <w:sz w:val="24"/>
        </w:rPr>
        <w:t xml:space="preserve">7.9 提前竣工的奖励 </w:t>
      </w:r>
    </w:p>
    <w:p>
      <w:pPr>
        <w:pStyle w:val="101"/>
        <w:spacing w:line="460" w:lineRule="exact"/>
        <w:ind w:firstLine="480" w:firstLineChars="200"/>
        <w:rPr>
          <w:rFonts w:ascii="宋体" w:hAnsi="宋体" w:cs="宋体"/>
          <w:sz w:val="24"/>
          <w:u w:val="single"/>
        </w:rPr>
      </w:pPr>
      <w:r>
        <w:rPr>
          <w:rFonts w:hint="eastAsia" w:ascii="宋体" w:hAnsi="宋体" w:cs="宋体"/>
          <w:sz w:val="24"/>
        </w:rPr>
        <w:t>7.9.2提前竣工的奖励：</w:t>
      </w:r>
      <w:r>
        <w:rPr>
          <w:rFonts w:hint="eastAsia" w:ascii="宋体" w:hAnsi="宋体" w:cs="宋体"/>
          <w:sz w:val="24"/>
          <w:u w:val="single"/>
        </w:rPr>
        <w:t xml:space="preserve">  无   </w:t>
      </w:r>
    </w:p>
    <w:p>
      <w:pPr>
        <w:pStyle w:val="101"/>
        <w:spacing w:line="460" w:lineRule="exact"/>
        <w:ind w:firstLine="480" w:firstLineChars="200"/>
        <w:rPr>
          <w:rFonts w:ascii="宋体" w:hAnsi="宋体" w:cs="宋体"/>
          <w:sz w:val="24"/>
        </w:rPr>
      </w:pPr>
      <w:r>
        <w:rPr>
          <w:rFonts w:hint="eastAsia" w:ascii="宋体" w:hAnsi="宋体" w:cs="宋体"/>
          <w:sz w:val="24"/>
        </w:rPr>
        <w:t xml:space="preserve"> 8. 材料与设备 </w:t>
      </w:r>
    </w:p>
    <w:p>
      <w:pPr>
        <w:pStyle w:val="101"/>
        <w:spacing w:line="460" w:lineRule="exact"/>
        <w:ind w:firstLine="480" w:firstLineChars="200"/>
        <w:rPr>
          <w:rFonts w:ascii="宋体" w:hAnsi="宋体" w:cs="宋体"/>
          <w:sz w:val="24"/>
        </w:rPr>
      </w:pPr>
      <w:r>
        <w:rPr>
          <w:rFonts w:hint="eastAsia" w:ascii="宋体" w:hAnsi="宋体" w:cs="宋体"/>
          <w:sz w:val="24"/>
        </w:rPr>
        <w:t xml:space="preserve">8.2 承包人采购材料与工程设备 </w:t>
      </w:r>
    </w:p>
    <w:p>
      <w:pPr>
        <w:pStyle w:val="101"/>
        <w:spacing w:line="460" w:lineRule="exact"/>
        <w:ind w:firstLine="480" w:firstLineChars="200"/>
        <w:rPr>
          <w:rFonts w:ascii="宋体" w:hAnsi="宋体" w:cs="宋体"/>
          <w:sz w:val="24"/>
        </w:rPr>
      </w:pPr>
      <w:r>
        <w:rPr>
          <w:rFonts w:hint="eastAsia" w:ascii="宋体" w:hAnsi="宋体" w:cs="宋体"/>
          <w:sz w:val="24"/>
        </w:rPr>
        <w:t xml:space="preserve">（1）承包人在采购每一种类的主要材料及设备（如灯具、线缆、配电箱等），须将拟定采购供应的材料生产或供应的厂家的企业概况（包括名称、注册资金、生产许可证、年产量）、产品质量合格证书以及反映厂家实力的证明材料等报给监理工程师，待批准后才能采购使用。否则，监理工程师认为其提供不合格材料及设备，并按有关规定处理。  </w:t>
      </w:r>
    </w:p>
    <w:p>
      <w:pPr>
        <w:pStyle w:val="101"/>
        <w:spacing w:line="460" w:lineRule="exact"/>
        <w:ind w:firstLine="480" w:firstLineChars="200"/>
        <w:rPr>
          <w:rFonts w:ascii="宋体" w:hAnsi="宋体" w:cs="宋体"/>
          <w:sz w:val="24"/>
        </w:rPr>
      </w:pPr>
      <w:r>
        <w:rPr>
          <w:rFonts w:hint="eastAsia" w:ascii="宋体" w:hAnsi="宋体" w:cs="宋体"/>
          <w:sz w:val="24"/>
        </w:rPr>
        <w:t xml:space="preserve">（2）政府质量安全监督部门和监理工程师有权安排抽检，承包人应积极配合。政府质量安全监督部门出具的监督检验报告书作为工程竣工验收所需文件的组成部分。 </w:t>
      </w:r>
    </w:p>
    <w:p>
      <w:pPr>
        <w:pStyle w:val="101"/>
        <w:spacing w:line="460" w:lineRule="exact"/>
        <w:ind w:firstLine="480" w:firstLineChars="200"/>
        <w:rPr>
          <w:rFonts w:ascii="宋体" w:hAnsi="宋体" w:cs="宋体"/>
          <w:sz w:val="24"/>
        </w:rPr>
      </w:pPr>
      <w:r>
        <w:rPr>
          <w:rFonts w:hint="eastAsia" w:ascii="宋体" w:hAnsi="宋体" w:cs="宋体"/>
          <w:sz w:val="24"/>
        </w:rPr>
        <w:t xml:space="preserve">（3）在施工过程中，监理工程师有权随时对工程材料、设备的使用进行抽查，包括成品、半成品、器具、设备、附件、小五金等。抽查范围、比例、数量、批次及检查深度可比照国家现行施工质量验收规范和相关规定。如抽查部分经检测为合格的，检测费用由发包人承担；如抽查部分经检测为不合格的，检测费用由承包人承担，承包人还应当按照相关条承担违约责任。  </w:t>
      </w:r>
    </w:p>
    <w:p>
      <w:pPr>
        <w:pStyle w:val="101"/>
        <w:spacing w:line="460" w:lineRule="exact"/>
        <w:ind w:firstLine="420"/>
        <w:rPr>
          <w:rFonts w:ascii="宋体" w:hAnsi="宋体" w:cs="宋体"/>
          <w:sz w:val="24"/>
        </w:rPr>
      </w:pPr>
      <w:r>
        <w:rPr>
          <w:rFonts w:hint="eastAsia" w:ascii="宋体" w:hAnsi="宋体" w:cs="宋体"/>
          <w:sz w:val="24"/>
        </w:rPr>
        <w:t xml:space="preserve">（4）工程材料、设备的质量依据下列顺序之标准认定：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a.本工程设计图纸规定的设计标准；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b.招投标时确定的规格、技术指标、质量标准、品牌等；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c.经设计、监理、承包人、发包人共同认定的产品封样、样板； </w:t>
      </w:r>
    </w:p>
    <w:p>
      <w:pPr>
        <w:pStyle w:val="101"/>
        <w:spacing w:line="460" w:lineRule="exact"/>
        <w:ind w:firstLine="480" w:firstLineChars="200"/>
        <w:rPr>
          <w:rFonts w:ascii="宋体" w:hAnsi="宋体" w:cs="宋体"/>
          <w:sz w:val="24"/>
        </w:rPr>
      </w:pPr>
      <w:r>
        <w:rPr>
          <w:rFonts w:hint="eastAsia" w:ascii="宋体" w:hAnsi="宋体" w:cs="宋体"/>
          <w:sz w:val="24"/>
          <w:u w:val="single"/>
        </w:rPr>
        <w:t>d.国家或行业强制执行的技术标准、技术规范。</w:t>
      </w:r>
      <w:r>
        <w:rPr>
          <w:rFonts w:hint="eastAsia" w:ascii="宋体" w:hAnsi="宋体" w:cs="宋体"/>
          <w:sz w:val="24"/>
        </w:rPr>
        <w:t xml:space="preserve"> </w:t>
      </w:r>
    </w:p>
    <w:p>
      <w:pPr>
        <w:pStyle w:val="101"/>
        <w:spacing w:line="460" w:lineRule="exact"/>
        <w:ind w:firstLine="420"/>
        <w:rPr>
          <w:rFonts w:ascii="宋体" w:hAnsi="宋体" w:cs="宋体"/>
          <w:sz w:val="24"/>
        </w:rPr>
      </w:pPr>
      <w:r>
        <w:rPr>
          <w:rFonts w:hint="eastAsia" w:ascii="宋体" w:hAnsi="宋体" w:cs="宋体"/>
          <w:sz w:val="24"/>
        </w:rPr>
        <w:t xml:space="preserve">（5）工程材料、设备的抽查、检验结果与前款约定不符的，监理工程师必须扩大对该批材料的抽查范围、增加数量抽检。若仍不合格的，承包人必须在监理工程师书面通知的限期内全部无条件拆除、更换，并运出施工现场；由此所造成的工期延误、费用增加等一切损失均由承包人承担。同时，承包人还应当按照相关条款承担违约责任。 </w:t>
      </w:r>
    </w:p>
    <w:p>
      <w:pPr>
        <w:pStyle w:val="101"/>
        <w:spacing w:line="460" w:lineRule="exact"/>
        <w:ind w:firstLine="480" w:firstLineChars="200"/>
        <w:rPr>
          <w:rFonts w:ascii="宋体" w:hAnsi="宋体" w:cs="宋体"/>
          <w:sz w:val="24"/>
        </w:rPr>
      </w:pPr>
      <w:r>
        <w:rPr>
          <w:rFonts w:hint="eastAsia" w:ascii="宋体" w:hAnsi="宋体" w:cs="宋体"/>
          <w:sz w:val="24"/>
        </w:rPr>
        <w:t xml:space="preserve">8.4 材料与工程设备的保管与使用 </w:t>
      </w:r>
    </w:p>
    <w:p>
      <w:pPr>
        <w:pStyle w:val="101"/>
        <w:spacing w:line="460" w:lineRule="exact"/>
        <w:ind w:firstLine="480" w:firstLineChars="200"/>
        <w:rPr>
          <w:rFonts w:ascii="宋体" w:hAnsi="宋体" w:cs="宋体"/>
          <w:sz w:val="24"/>
        </w:rPr>
      </w:pPr>
      <w:r>
        <w:rPr>
          <w:rFonts w:hint="eastAsia" w:ascii="宋体" w:hAnsi="宋体" w:cs="宋体"/>
          <w:sz w:val="24"/>
        </w:rPr>
        <w:t xml:space="preserve">8.4.1发包人供应的材料设备的保管费用的承担：该项费用已包含在合同总价中，发包人不另行支付 。 </w:t>
      </w:r>
    </w:p>
    <w:p>
      <w:pPr>
        <w:pStyle w:val="101"/>
        <w:spacing w:line="460" w:lineRule="exact"/>
        <w:ind w:firstLine="480" w:firstLineChars="200"/>
        <w:outlineLvl w:val="0"/>
        <w:rPr>
          <w:rFonts w:ascii="宋体" w:hAnsi="宋体" w:cs="宋体"/>
          <w:sz w:val="24"/>
        </w:rPr>
      </w:pPr>
      <w:bookmarkStart w:id="362" w:name="_Toc23694"/>
      <w:bookmarkStart w:id="363" w:name="_Toc11983"/>
      <w:bookmarkStart w:id="364" w:name="_Toc14861"/>
      <w:bookmarkStart w:id="365" w:name="_Toc21137"/>
      <w:bookmarkStart w:id="366" w:name="_Toc32002"/>
      <w:bookmarkStart w:id="367" w:name="_Toc25612"/>
      <w:bookmarkStart w:id="368" w:name="_Toc14928"/>
      <w:bookmarkStart w:id="369" w:name="_Toc22253"/>
      <w:r>
        <w:rPr>
          <w:rFonts w:hint="eastAsia" w:ascii="宋体" w:hAnsi="宋体" w:cs="宋体"/>
          <w:sz w:val="24"/>
        </w:rPr>
        <w:t>8.6 样品</w:t>
      </w:r>
      <w:bookmarkEnd w:id="362"/>
      <w:bookmarkEnd w:id="363"/>
      <w:bookmarkEnd w:id="364"/>
      <w:bookmarkEnd w:id="365"/>
      <w:bookmarkEnd w:id="366"/>
      <w:bookmarkEnd w:id="367"/>
      <w:bookmarkEnd w:id="368"/>
      <w:bookmarkEnd w:id="369"/>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8.6.1 样品的报送与封存 </w:t>
      </w:r>
    </w:p>
    <w:p>
      <w:pPr>
        <w:pStyle w:val="101"/>
        <w:spacing w:line="460" w:lineRule="exact"/>
        <w:ind w:firstLine="480" w:firstLineChars="200"/>
        <w:rPr>
          <w:rFonts w:ascii="宋体" w:hAnsi="宋体" w:cs="宋体"/>
          <w:sz w:val="24"/>
        </w:rPr>
      </w:pPr>
      <w:r>
        <w:rPr>
          <w:rFonts w:hint="eastAsia" w:ascii="宋体" w:hAnsi="宋体" w:cs="宋体"/>
          <w:sz w:val="24"/>
        </w:rPr>
        <w:t xml:space="preserve">需要承包人报送样品的材料或工程设备，样品的种类、名称、规格、数量要求：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 ①承包人应在计划采购前28天向监理人报送样品。承包人报送的样品均应来自供应材料的实际生产地，且提供的样品的规格、数量足以表明材料或工程设备的质量、型号、颜色、表面处理、质地、误差和其他要求的特征。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②承包人每次报送样品时应随附申报单，申报单应载明报送样品的相关数据和资料，并标明每件样品对应的图纸号，预留监理人批复意见栏。</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监理人应在收到承包人报送的样品后7天向承包人回复经发包人签认的样品审批意见。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③经发包人和监理人审批确认的样品作为检验工程相关部分的标准之一。承包人在施工过程中不得使用与样品不符的材料或工程设备。  </w:t>
      </w:r>
    </w:p>
    <w:p>
      <w:pPr>
        <w:pStyle w:val="101"/>
        <w:spacing w:line="460" w:lineRule="exact"/>
        <w:ind w:firstLine="480" w:firstLineChars="200"/>
        <w:rPr>
          <w:rFonts w:ascii="宋体" w:hAnsi="宋体" w:cs="宋体"/>
          <w:sz w:val="24"/>
        </w:rPr>
      </w:pPr>
      <w:r>
        <w:rPr>
          <w:rFonts w:hint="eastAsia" w:ascii="宋体" w:hAnsi="宋体" w:cs="宋体"/>
          <w:sz w:val="24"/>
          <w:u w:val="single"/>
        </w:rPr>
        <w:t>④发包人和监理人对样品的审批确认仅为确认相关材料或工程设备的特征或用途，不得被理解为对合同的修改或改变，也并不减轻或免除承包人任何的责任和义务。</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8.8 施工设备和临时设施 </w:t>
      </w:r>
    </w:p>
    <w:p>
      <w:pPr>
        <w:pStyle w:val="101"/>
        <w:spacing w:line="460" w:lineRule="exact"/>
        <w:ind w:firstLine="480" w:firstLineChars="200"/>
        <w:rPr>
          <w:rFonts w:ascii="宋体" w:hAnsi="宋体" w:cs="宋体"/>
          <w:sz w:val="24"/>
        </w:rPr>
      </w:pPr>
      <w:r>
        <w:rPr>
          <w:rFonts w:hint="eastAsia" w:ascii="宋体" w:hAnsi="宋体" w:cs="宋体"/>
          <w:sz w:val="24"/>
        </w:rPr>
        <w:t xml:space="preserve">8.8.1 承包人提供的施工设备和临时设施 </w:t>
      </w:r>
    </w:p>
    <w:p>
      <w:pPr>
        <w:pStyle w:val="101"/>
        <w:spacing w:line="460" w:lineRule="exact"/>
        <w:ind w:firstLine="480" w:firstLineChars="200"/>
        <w:rPr>
          <w:rFonts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临时设施费用已含在合同总价内，发包人不另行支付。</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9. 试验与检验 </w:t>
      </w:r>
    </w:p>
    <w:p>
      <w:pPr>
        <w:pStyle w:val="101"/>
        <w:spacing w:line="460" w:lineRule="exact"/>
        <w:ind w:firstLine="480" w:firstLineChars="200"/>
        <w:rPr>
          <w:rFonts w:ascii="宋体" w:hAnsi="宋体" w:cs="宋体"/>
          <w:sz w:val="24"/>
        </w:rPr>
      </w:pPr>
      <w:r>
        <w:rPr>
          <w:rFonts w:hint="eastAsia" w:ascii="宋体" w:hAnsi="宋体" w:cs="宋体"/>
          <w:sz w:val="24"/>
        </w:rPr>
        <w:t xml:space="preserve">9.1 试验设备与试验人员 </w:t>
      </w:r>
    </w:p>
    <w:p>
      <w:pPr>
        <w:pStyle w:val="101"/>
        <w:spacing w:line="460" w:lineRule="exact"/>
        <w:ind w:firstLine="480" w:firstLineChars="200"/>
        <w:rPr>
          <w:rFonts w:ascii="宋体" w:hAnsi="宋体" w:cs="宋体"/>
          <w:sz w:val="24"/>
        </w:rPr>
      </w:pPr>
      <w:r>
        <w:rPr>
          <w:rFonts w:hint="eastAsia" w:ascii="宋体" w:hAnsi="宋体" w:cs="宋体"/>
          <w:sz w:val="24"/>
        </w:rPr>
        <w:t xml:space="preserve">9.1.2 试验设备 </w:t>
      </w:r>
    </w:p>
    <w:p>
      <w:pPr>
        <w:pStyle w:val="101"/>
        <w:spacing w:line="460" w:lineRule="exact"/>
        <w:ind w:firstLine="480" w:firstLineChars="200"/>
        <w:rPr>
          <w:rFonts w:ascii="宋体" w:hAnsi="宋体" w:cs="宋体"/>
          <w:sz w:val="24"/>
        </w:rPr>
      </w:pPr>
      <w:r>
        <w:rPr>
          <w:rFonts w:hint="eastAsia" w:ascii="宋体" w:hAnsi="宋体" w:cs="宋体"/>
          <w:sz w:val="24"/>
        </w:rPr>
        <w:t>施工现场需要配置的试验场所：</w:t>
      </w:r>
      <w:r>
        <w:rPr>
          <w:rFonts w:hint="eastAsia" w:ascii="宋体" w:hAnsi="宋体" w:cs="宋体"/>
          <w:sz w:val="24"/>
          <w:u w:val="single"/>
        </w:rPr>
        <w:t xml:space="preserve">    双方协商。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施工现场需要配备的试验设备：</w:t>
      </w:r>
      <w:r>
        <w:rPr>
          <w:rFonts w:hint="eastAsia" w:ascii="宋体" w:hAnsi="宋体" w:cs="宋体"/>
          <w:sz w:val="24"/>
          <w:u w:val="single"/>
        </w:rPr>
        <w:t xml:space="preserve">    按通用条款执行 。 </w:t>
      </w:r>
    </w:p>
    <w:p>
      <w:pPr>
        <w:pStyle w:val="101"/>
        <w:spacing w:line="460" w:lineRule="exact"/>
        <w:ind w:firstLine="480" w:firstLineChars="200"/>
        <w:rPr>
          <w:rFonts w:ascii="宋体" w:hAnsi="宋体" w:cs="宋体"/>
          <w:sz w:val="24"/>
          <w:u w:val="single"/>
        </w:rPr>
      </w:pPr>
      <w:r>
        <w:rPr>
          <w:rFonts w:hint="eastAsia" w:ascii="宋体" w:hAnsi="宋体" w:cs="宋体"/>
          <w:sz w:val="24"/>
        </w:rPr>
        <w:t>施工现场需要具备的其他试验条件：</w:t>
      </w:r>
      <w:r>
        <w:rPr>
          <w:rFonts w:hint="eastAsia" w:ascii="宋体" w:hAnsi="宋体" w:cs="宋体"/>
          <w:sz w:val="24"/>
          <w:u w:val="single"/>
        </w:rPr>
        <w:t xml:space="preserve">  /          </w:t>
      </w:r>
    </w:p>
    <w:p>
      <w:pPr>
        <w:pStyle w:val="101"/>
        <w:spacing w:line="460" w:lineRule="exact"/>
        <w:ind w:firstLine="480" w:firstLineChars="200"/>
        <w:rPr>
          <w:rFonts w:ascii="宋体" w:hAnsi="宋体" w:cs="宋体"/>
          <w:sz w:val="24"/>
        </w:rPr>
      </w:pPr>
      <w:r>
        <w:rPr>
          <w:rFonts w:hint="eastAsia" w:ascii="宋体" w:hAnsi="宋体" w:cs="宋体"/>
          <w:sz w:val="24"/>
        </w:rPr>
        <w:t xml:space="preserve">9.3 材料、工程设备和工程的试验和检验   </w:t>
      </w:r>
    </w:p>
    <w:p>
      <w:pPr>
        <w:pStyle w:val="101"/>
        <w:spacing w:line="460" w:lineRule="exact"/>
        <w:ind w:firstLine="480" w:firstLineChars="200"/>
        <w:rPr>
          <w:rFonts w:ascii="宋体" w:hAnsi="宋体" w:cs="宋体"/>
          <w:sz w:val="24"/>
        </w:rPr>
      </w:pPr>
      <w:r>
        <w:rPr>
          <w:rFonts w:hint="eastAsia" w:ascii="宋体" w:hAnsi="宋体" w:cs="宋体"/>
          <w:sz w:val="24"/>
        </w:rPr>
        <w:t xml:space="preserve">9.3.4进入现场检验 </w:t>
      </w:r>
    </w:p>
    <w:p>
      <w:pPr>
        <w:pStyle w:val="101"/>
        <w:spacing w:line="460" w:lineRule="exact"/>
        <w:ind w:firstLine="480" w:firstLineChars="200"/>
        <w:rPr>
          <w:rFonts w:ascii="宋体" w:hAnsi="宋体" w:cs="宋体"/>
          <w:sz w:val="24"/>
        </w:rPr>
      </w:pPr>
      <w:r>
        <w:rPr>
          <w:rFonts w:hint="eastAsia" w:ascii="宋体" w:hAnsi="宋体" w:cs="宋体"/>
          <w:sz w:val="24"/>
        </w:rPr>
        <w:t>政府质量安全监督部门和监理工程师及其委派的代表可进入施工场地、材料设备的制造、加工或制配的所有车间和场所进行检验。承包人应为他们进入上述场所提供便利和协助。政府质量安全监督部门出具的监督检验报告书作为工程竣工验收所需文件的组成部分。在施工过程中，监理工程师有权随时对工程材料、设备的使用进行抽查，包括成品、半成品、器具、设备、附件、小五金等。抽查范围、比例、数量、批次及检查深度可比照国家现行施工质量验收规范和相关规定。如抽查部分经检测为合格的，检测费用由发包人承担；如抽查部分经检测为不合格的，检测费用由承包人承担，检测费用应该包含在投标报价里，不得单列此项。</w:t>
      </w:r>
    </w:p>
    <w:p>
      <w:pPr>
        <w:pStyle w:val="101"/>
        <w:spacing w:line="460" w:lineRule="exact"/>
        <w:ind w:firstLine="480" w:firstLineChars="200"/>
        <w:rPr>
          <w:rFonts w:ascii="宋体" w:hAnsi="宋体" w:cs="宋体"/>
          <w:sz w:val="24"/>
        </w:rPr>
      </w:pPr>
      <w:r>
        <w:rPr>
          <w:rFonts w:hint="eastAsia" w:ascii="宋体" w:hAnsi="宋体" w:cs="宋体"/>
          <w:sz w:val="24"/>
        </w:rPr>
        <w:t xml:space="preserve">工程材料、设备的抽查、检验结果与前款约定不符的，监理工程师必须扩大对该批材料的抽查范围、增加数量抽检。若仍不合格的，承包人必须在监理工程师书面通知的限期内全部无条件拆除、 更换，并运出施工现场；由此所造成的工期延误、费用增加等一切损失均由承包人承担。 </w:t>
      </w:r>
    </w:p>
    <w:p>
      <w:pPr>
        <w:pStyle w:val="101"/>
        <w:spacing w:line="460" w:lineRule="exact"/>
        <w:ind w:firstLine="480" w:firstLineChars="200"/>
        <w:rPr>
          <w:rFonts w:ascii="宋体" w:hAnsi="宋体" w:cs="宋体"/>
          <w:sz w:val="24"/>
        </w:rPr>
      </w:pPr>
      <w:r>
        <w:rPr>
          <w:rFonts w:hint="eastAsia" w:ascii="宋体" w:hAnsi="宋体" w:cs="宋体"/>
          <w:sz w:val="24"/>
        </w:rPr>
        <w:t xml:space="preserve">9.3.8工程材料、设备的质量依据下列顺序之标准认定：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（1）国家或行业强制执行的技术标准、技术规范。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（2）经设计、监理、承包人、发包人共同认定的产品封样、样板；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（3）招投标时确定的规格、技术指标、质量标准、品牌等； </w:t>
      </w:r>
    </w:p>
    <w:p>
      <w:pPr>
        <w:pStyle w:val="101"/>
        <w:spacing w:line="460" w:lineRule="exact"/>
        <w:ind w:firstLine="480" w:firstLineChars="200"/>
        <w:rPr>
          <w:rFonts w:ascii="宋体" w:hAnsi="宋体" w:cs="宋体"/>
          <w:sz w:val="24"/>
        </w:rPr>
      </w:pPr>
      <w:r>
        <w:rPr>
          <w:rFonts w:hint="eastAsia" w:ascii="宋体" w:hAnsi="宋体" w:cs="宋体"/>
          <w:sz w:val="24"/>
          <w:u w:val="single"/>
        </w:rPr>
        <w:t>（4）本工程设计图纸规定的设计标准。</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9.4 现场工艺试验   </w:t>
      </w:r>
    </w:p>
    <w:p>
      <w:pPr>
        <w:pStyle w:val="101"/>
        <w:spacing w:line="460" w:lineRule="exact"/>
        <w:ind w:firstLine="480" w:firstLineChars="200"/>
        <w:rPr>
          <w:rFonts w:ascii="宋体" w:hAnsi="宋体" w:cs="宋体"/>
          <w:sz w:val="24"/>
        </w:rPr>
      </w:pPr>
      <w:r>
        <w:rPr>
          <w:rFonts w:hint="eastAsia" w:ascii="宋体" w:hAnsi="宋体" w:cs="宋体"/>
          <w:sz w:val="24"/>
        </w:rPr>
        <w:t xml:space="preserve">现场工艺试验的有关约定： </w:t>
      </w:r>
      <w:r>
        <w:rPr>
          <w:rFonts w:hint="eastAsia" w:ascii="宋体" w:hAnsi="宋体" w:cs="宋体"/>
          <w:sz w:val="24"/>
          <w:u w:val="single"/>
        </w:rPr>
        <w:t>双方现场约定，其费用由承包人承担。</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10. 变更 </w:t>
      </w:r>
    </w:p>
    <w:p>
      <w:pPr>
        <w:pStyle w:val="101"/>
        <w:spacing w:line="460" w:lineRule="exact"/>
        <w:ind w:firstLine="480" w:firstLineChars="200"/>
        <w:rPr>
          <w:rFonts w:ascii="宋体" w:hAnsi="宋体" w:cs="宋体"/>
          <w:sz w:val="24"/>
        </w:rPr>
      </w:pPr>
      <w:r>
        <w:rPr>
          <w:rFonts w:hint="eastAsia" w:ascii="宋体" w:hAnsi="宋体" w:cs="宋体"/>
          <w:sz w:val="24"/>
        </w:rPr>
        <w:t xml:space="preserve">10.1变更的范围 </w:t>
      </w:r>
    </w:p>
    <w:p>
      <w:pPr>
        <w:pStyle w:val="101"/>
        <w:spacing w:line="460" w:lineRule="exact"/>
        <w:ind w:firstLine="480" w:firstLineChars="200"/>
        <w:rPr>
          <w:rFonts w:ascii="宋体" w:hAnsi="宋体" w:cs="宋体"/>
          <w:sz w:val="24"/>
        </w:rPr>
      </w:pPr>
      <w:r>
        <w:rPr>
          <w:rFonts w:hint="eastAsia" w:ascii="宋体" w:hAnsi="宋体" w:cs="宋体"/>
          <w:sz w:val="24"/>
        </w:rPr>
        <w:t>关于变更的范围的约定：</w:t>
      </w:r>
      <w:r>
        <w:rPr>
          <w:rFonts w:hint="eastAsia" w:ascii="宋体" w:hAnsi="宋体" w:cs="宋体"/>
          <w:sz w:val="24"/>
          <w:u w:val="single"/>
        </w:rPr>
        <w:t>（1）增加或减少合同中任何工作，或追加额外的工作；（2）取消合同中任何工作，但转由他人实施的工作除外；（3）改变合同中任何工作的质量标准或其他特性；（4）改变工程的基线、标高、位置和尺寸。</w:t>
      </w:r>
    </w:p>
    <w:p>
      <w:pPr>
        <w:pStyle w:val="101"/>
        <w:spacing w:line="460" w:lineRule="exact"/>
        <w:ind w:firstLine="480" w:firstLineChars="200"/>
        <w:rPr>
          <w:rFonts w:ascii="宋体" w:hAnsi="宋体" w:cs="宋体"/>
          <w:sz w:val="24"/>
        </w:rPr>
      </w:pPr>
      <w:r>
        <w:rPr>
          <w:rFonts w:hint="eastAsia" w:ascii="宋体" w:hAnsi="宋体" w:cs="宋体"/>
          <w:sz w:val="24"/>
        </w:rPr>
        <w:t xml:space="preserve">10.4 变更估价 </w:t>
      </w:r>
    </w:p>
    <w:p>
      <w:pPr>
        <w:pStyle w:val="101"/>
        <w:spacing w:line="460" w:lineRule="exact"/>
        <w:ind w:firstLine="480" w:firstLineChars="200"/>
        <w:rPr>
          <w:rFonts w:ascii="宋体" w:hAnsi="宋体" w:cs="宋体"/>
          <w:sz w:val="24"/>
        </w:rPr>
      </w:pPr>
      <w:r>
        <w:rPr>
          <w:rFonts w:hint="eastAsia" w:ascii="宋体" w:hAnsi="宋体" w:cs="宋体"/>
          <w:sz w:val="24"/>
        </w:rPr>
        <w:t xml:space="preserve">10.4.1 变更估价原则 </w:t>
      </w:r>
    </w:p>
    <w:p>
      <w:pPr>
        <w:pStyle w:val="101"/>
        <w:spacing w:line="460" w:lineRule="exact"/>
        <w:ind w:firstLine="480" w:firstLineChars="200"/>
        <w:rPr>
          <w:rFonts w:ascii="宋体" w:hAnsi="宋体" w:cs="宋体"/>
          <w:sz w:val="24"/>
          <w:u w:val="single"/>
        </w:rPr>
      </w:pPr>
      <w:r>
        <w:rPr>
          <w:rFonts w:hint="eastAsia" w:ascii="宋体" w:hAnsi="宋体" w:cs="宋体"/>
          <w:sz w:val="24"/>
        </w:rPr>
        <w:t xml:space="preserve">（1）关于变更估价的约定:  </w:t>
      </w:r>
      <w:r>
        <w:rPr>
          <w:rFonts w:hint="eastAsia" w:ascii="宋体" w:hAnsi="宋体" w:cs="宋体"/>
          <w:sz w:val="24"/>
          <w:u w:val="single"/>
        </w:rPr>
        <w:t xml:space="preserve">按承包人投标报价水平相一致的原则确定工程变更价款。 </w:t>
      </w:r>
    </w:p>
    <w:p>
      <w:pPr>
        <w:pStyle w:val="101"/>
        <w:spacing w:line="460" w:lineRule="exact"/>
        <w:ind w:firstLine="480" w:firstLineChars="200"/>
        <w:rPr>
          <w:rFonts w:ascii="宋体" w:hAnsi="宋体" w:cs="宋体"/>
          <w:sz w:val="24"/>
        </w:rPr>
      </w:pPr>
      <w:r>
        <w:rPr>
          <w:rFonts w:hint="eastAsia" w:ascii="宋体" w:hAnsi="宋体" w:cs="宋体"/>
          <w:sz w:val="24"/>
          <w:u w:val="single"/>
        </w:rPr>
        <w:t>（2）变更事项需一事一签，变更涉及签证时，需严格按附件的《签证管理办法》执行。</w:t>
      </w:r>
    </w:p>
    <w:p>
      <w:pPr>
        <w:pStyle w:val="101"/>
        <w:spacing w:line="460" w:lineRule="exact"/>
        <w:ind w:firstLine="480" w:firstLineChars="200"/>
        <w:rPr>
          <w:rFonts w:ascii="宋体" w:hAnsi="宋体" w:cs="宋体"/>
          <w:sz w:val="24"/>
        </w:rPr>
      </w:pPr>
      <w:r>
        <w:rPr>
          <w:rFonts w:hint="eastAsia" w:ascii="宋体" w:hAnsi="宋体" w:cs="宋体"/>
          <w:sz w:val="24"/>
        </w:rPr>
        <w:t xml:space="preserve">10.5承包人的合理化建议 </w:t>
      </w:r>
    </w:p>
    <w:p>
      <w:pPr>
        <w:pStyle w:val="101"/>
        <w:spacing w:line="460" w:lineRule="exact"/>
        <w:ind w:firstLine="480" w:firstLineChars="200"/>
        <w:rPr>
          <w:rFonts w:ascii="宋体" w:hAnsi="宋体" w:cs="宋体"/>
          <w:sz w:val="24"/>
          <w:u w:val="single"/>
        </w:rPr>
      </w:pPr>
      <w:r>
        <w:rPr>
          <w:rFonts w:hint="eastAsia" w:ascii="宋体" w:hAnsi="宋体" w:cs="宋体"/>
          <w:sz w:val="24"/>
        </w:rPr>
        <w:t>监理人审查承包人合理化建议的期限</w:t>
      </w:r>
      <w:r>
        <w:rPr>
          <w:rFonts w:hint="eastAsia" w:ascii="宋体" w:hAnsi="宋体" w:cs="宋体"/>
          <w:sz w:val="24"/>
          <w:u w:val="single"/>
        </w:rPr>
        <w:t xml:space="preserve">：7 天   </w:t>
      </w:r>
    </w:p>
    <w:p>
      <w:pPr>
        <w:pStyle w:val="101"/>
        <w:spacing w:line="460" w:lineRule="exact"/>
        <w:ind w:firstLine="480" w:firstLineChars="200"/>
        <w:rPr>
          <w:rFonts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7 天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承包人提出的合理化建议降低了合同价格或者提高了工程经济效益的奖励的方法和金额为： 双方协商确定。 </w:t>
      </w:r>
    </w:p>
    <w:p>
      <w:pPr>
        <w:pStyle w:val="101"/>
        <w:spacing w:line="460" w:lineRule="exact"/>
        <w:ind w:firstLine="480" w:firstLineChars="200"/>
        <w:outlineLvl w:val="0"/>
        <w:rPr>
          <w:rFonts w:ascii="宋体" w:hAnsi="宋体" w:cs="宋体"/>
          <w:sz w:val="24"/>
        </w:rPr>
      </w:pPr>
      <w:bookmarkStart w:id="370" w:name="_Toc15995"/>
      <w:bookmarkStart w:id="371" w:name="_Toc15653"/>
      <w:bookmarkStart w:id="372" w:name="_Toc26830"/>
      <w:bookmarkStart w:id="373" w:name="_Toc7516"/>
      <w:bookmarkStart w:id="374" w:name="_Toc31410"/>
      <w:bookmarkStart w:id="375" w:name="_Toc5328"/>
      <w:bookmarkStart w:id="376" w:name="_Toc10739"/>
      <w:bookmarkStart w:id="377" w:name="_Toc12306"/>
      <w:r>
        <w:rPr>
          <w:rFonts w:hint="eastAsia" w:ascii="宋体" w:hAnsi="宋体" w:cs="宋体"/>
          <w:sz w:val="24"/>
        </w:rPr>
        <w:t>10.7 暂估价</w:t>
      </w:r>
      <w:bookmarkEnd w:id="370"/>
      <w:bookmarkEnd w:id="371"/>
      <w:bookmarkEnd w:id="372"/>
      <w:bookmarkEnd w:id="373"/>
      <w:bookmarkEnd w:id="374"/>
      <w:bookmarkEnd w:id="375"/>
      <w:bookmarkEnd w:id="376"/>
      <w:bookmarkEnd w:id="377"/>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暂估价材料和工程设备的明细详见工程量清单。 </w:t>
      </w:r>
    </w:p>
    <w:p>
      <w:pPr>
        <w:pStyle w:val="101"/>
        <w:spacing w:line="460" w:lineRule="exact"/>
        <w:ind w:firstLine="480" w:firstLineChars="200"/>
        <w:rPr>
          <w:rFonts w:ascii="宋体" w:hAnsi="宋体" w:cs="宋体"/>
          <w:sz w:val="24"/>
        </w:rPr>
      </w:pPr>
      <w:r>
        <w:rPr>
          <w:rFonts w:hint="eastAsia" w:ascii="宋体" w:hAnsi="宋体" w:cs="宋体"/>
          <w:sz w:val="24"/>
        </w:rPr>
        <w:t xml:space="preserve">10.7.4暂估价的结算 </w:t>
      </w:r>
    </w:p>
    <w:p>
      <w:pPr>
        <w:pStyle w:val="101"/>
        <w:spacing w:line="460" w:lineRule="exact"/>
        <w:ind w:firstLine="480" w:firstLineChars="200"/>
        <w:rPr>
          <w:rFonts w:ascii="宋体" w:hAnsi="宋体" w:cs="宋体"/>
          <w:sz w:val="24"/>
        </w:rPr>
      </w:pPr>
      <w:r>
        <w:rPr>
          <w:rFonts w:hint="eastAsia" w:ascii="宋体" w:hAnsi="宋体" w:cs="宋体"/>
          <w:sz w:val="24"/>
        </w:rPr>
        <w:t xml:space="preserve">（1）发包人提供专业工程暂估价项目，发包人以经承、发包双方计监理方共同核定的结算价只计取税金予以结算。 </w:t>
      </w:r>
    </w:p>
    <w:p>
      <w:pPr>
        <w:pStyle w:val="101"/>
        <w:spacing w:line="460" w:lineRule="exact"/>
        <w:ind w:firstLine="480" w:firstLineChars="200"/>
        <w:rPr>
          <w:rFonts w:ascii="宋体" w:hAnsi="宋体" w:cs="宋体"/>
          <w:sz w:val="24"/>
        </w:rPr>
      </w:pPr>
      <w:r>
        <w:rPr>
          <w:rFonts w:hint="eastAsia" w:ascii="宋体" w:hAnsi="宋体" w:cs="宋体"/>
          <w:sz w:val="24"/>
        </w:rPr>
        <w:t>（2）发包人提供的暂定材料价项目：</w:t>
      </w:r>
      <w:r>
        <w:rPr>
          <w:rFonts w:hint="eastAsia" w:ascii="宋体" w:hAnsi="宋体" w:cs="宋体"/>
          <w:sz w:val="24"/>
          <w:u w:val="single"/>
        </w:rPr>
        <w:t>实际采购合同价（需业主确认）与暂估价不一致，则发包人按承包人中标时提供的材料消耗量(若承包人提供的材料消耗量高于现行消耗量定额标准的,则以现行消耗量定额标准为准)和材料价差（采购合同单价减暂估单价）只计取税金并入结算，对应的综合单价及相关费用不予以调整。</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378" w:name="_Toc27831"/>
      <w:bookmarkStart w:id="379" w:name="_Toc21736"/>
      <w:bookmarkStart w:id="380" w:name="_Toc20779"/>
      <w:bookmarkStart w:id="381" w:name="_Toc15816"/>
      <w:bookmarkStart w:id="382" w:name="_Toc9932"/>
      <w:bookmarkStart w:id="383" w:name="_Toc3529"/>
      <w:bookmarkStart w:id="384" w:name="_Toc4399"/>
      <w:bookmarkStart w:id="385" w:name="_Toc31720"/>
      <w:r>
        <w:rPr>
          <w:rFonts w:hint="eastAsia" w:ascii="宋体" w:hAnsi="宋体" w:cs="宋体"/>
          <w:sz w:val="24"/>
        </w:rPr>
        <w:t>10.8 暂列金额</w:t>
      </w:r>
      <w:bookmarkEnd w:id="378"/>
      <w:bookmarkEnd w:id="379"/>
      <w:bookmarkEnd w:id="380"/>
      <w:bookmarkEnd w:id="381"/>
      <w:bookmarkEnd w:id="382"/>
      <w:bookmarkEnd w:id="383"/>
      <w:bookmarkEnd w:id="384"/>
      <w:bookmarkEnd w:id="385"/>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合同当事人关于暂列金额使用的约定：</w:t>
      </w:r>
      <w:r>
        <w:rPr>
          <w:rFonts w:hint="eastAsia" w:ascii="宋体" w:hAnsi="宋体" w:cs="宋体"/>
          <w:sz w:val="24"/>
          <w:u w:val="single"/>
        </w:rPr>
        <w:t xml:space="preserve">若有发生，据实结算 </w:t>
      </w:r>
      <w:r>
        <w:rPr>
          <w:rFonts w:hint="eastAsia" w:ascii="宋体" w:hAnsi="宋体" w:cs="宋体"/>
          <w:sz w:val="24"/>
        </w:rPr>
        <w:t xml:space="preserve">。 </w:t>
      </w:r>
    </w:p>
    <w:p>
      <w:pPr>
        <w:pStyle w:val="101"/>
        <w:spacing w:line="460" w:lineRule="exact"/>
        <w:ind w:firstLine="480" w:firstLineChars="200"/>
        <w:rPr>
          <w:rFonts w:ascii="宋体" w:hAnsi="宋体" w:cs="宋体"/>
          <w:sz w:val="24"/>
          <w:u w:val="single"/>
        </w:rPr>
      </w:pPr>
      <w:r>
        <w:rPr>
          <w:rFonts w:hint="eastAsia" w:ascii="宋体" w:hAnsi="宋体" w:cs="宋体"/>
          <w:sz w:val="24"/>
        </w:rPr>
        <w:t>11. 价格调整 ：</w:t>
      </w:r>
      <w:r>
        <w:rPr>
          <w:rFonts w:hint="eastAsia" w:ascii="宋体" w:hAnsi="宋体" w:cs="宋体"/>
          <w:sz w:val="24"/>
          <w:u w:val="single"/>
        </w:rPr>
        <w:t>不予调整。</w:t>
      </w:r>
    </w:p>
    <w:p>
      <w:pPr>
        <w:pStyle w:val="101"/>
        <w:spacing w:line="460" w:lineRule="exact"/>
        <w:ind w:firstLine="480" w:firstLineChars="200"/>
        <w:rPr>
          <w:rFonts w:ascii="宋体" w:hAnsi="宋体" w:cs="宋体"/>
          <w:sz w:val="24"/>
        </w:rPr>
      </w:pPr>
      <w:r>
        <w:rPr>
          <w:rFonts w:hint="eastAsia" w:ascii="宋体" w:hAnsi="宋体" w:cs="宋体"/>
          <w:sz w:val="24"/>
        </w:rPr>
        <w:t xml:space="preserve">12. 合同价格、计量与支付 </w:t>
      </w:r>
    </w:p>
    <w:p>
      <w:pPr>
        <w:pStyle w:val="101"/>
        <w:spacing w:line="460" w:lineRule="exact"/>
        <w:ind w:firstLine="480" w:firstLineChars="200"/>
        <w:outlineLvl w:val="0"/>
        <w:rPr>
          <w:rFonts w:ascii="宋体" w:hAnsi="宋体" w:cs="宋体"/>
          <w:sz w:val="24"/>
        </w:rPr>
      </w:pPr>
      <w:bookmarkStart w:id="386" w:name="_Toc28510"/>
      <w:bookmarkStart w:id="387" w:name="_Toc5886"/>
      <w:bookmarkStart w:id="388" w:name="_Toc27101"/>
      <w:bookmarkStart w:id="389" w:name="_Toc29841"/>
      <w:bookmarkStart w:id="390" w:name="_Toc4150"/>
      <w:bookmarkStart w:id="391" w:name="_Toc7239"/>
      <w:bookmarkStart w:id="392" w:name="_Toc26641"/>
      <w:bookmarkStart w:id="393" w:name="_Toc28213"/>
      <w:r>
        <w:rPr>
          <w:rFonts w:hint="eastAsia" w:ascii="宋体" w:hAnsi="宋体" w:cs="宋体"/>
          <w:sz w:val="24"/>
        </w:rPr>
        <w:t>12.1 合同价格形式</w:t>
      </w:r>
      <w:bookmarkEnd w:id="386"/>
      <w:bookmarkEnd w:id="387"/>
      <w:bookmarkEnd w:id="388"/>
      <w:bookmarkEnd w:id="389"/>
      <w:bookmarkEnd w:id="390"/>
      <w:bookmarkEnd w:id="391"/>
      <w:bookmarkEnd w:id="392"/>
      <w:bookmarkEnd w:id="393"/>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1、单价合同。 </w:t>
      </w:r>
    </w:p>
    <w:p>
      <w:pPr>
        <w:pStyle w:val="101"/>
        <w:spacing w:line="460" w:lineRule="exact"/>
        <w:ind w:firstLine="480" w:firstLineChars="200"/>
        <w:rPr>
          <w:rFonts w:ascii="宋体" w:hAnsi="宋体" w:cs="宋体"/>
          <w:sz w:val="24"/>
        </w:rPr>
      </w:pPr>
      <w:r>
        <w:rPr>
          <w:rFonts w:hint="eastAsia" w:ascii="宋体" w:hAnsi="宋体" w:cs="宋体"/>
          <w:sz w:val="24"/>
        </w:rPr>
        <w:t>投标人应在报价时自行考虑市场物价风险、考虑施工过程中对原有临近的、地上地下的建、构筑物、管线及人身安全的破坏、损失风险、市场物价风险 （合同专用条款中另有约定的按相应条款执行）、固定单价不变风险（含工期延迟等）,在约定的风险范围内合同价不予调整（发包人监购材料除外）。</w:t>
      </w:r>
    </w:p>
    <w:p>
      <w:pPr>
        <w:pStyle w:val="101"/>
        <w:spacing w:line="460" w:lineRule="exact"/>
        <w:ind w:firstLine="480" w:firstLineChars="200"/>
        <w:rPr>
          <w:rFonts w:ascii="宋体" w:hAnsi="宋体" w:cs="宋体"/>
          <w:sz w:val="24"/>
        </w:rPr>
      </w:pPr>
      <w:r>
        <w:rPr>
          <w:rFonts w:hint="eastAsia" w:ascii="宋体" w:hAnsi="宋体" w:cs="宋体"/>
          <w:sz w:val="24"/>
        </w:rPr>
        <w:t>风险费用的计算方法：承包人自行考虑，已包含在合同总价中在约定的风险范围内合同单价不予调整（发包人暂估材料除外）。</w:t>
      </w:r>
    </w:p>
    <w:p>
      <w:pPr>
        <w:pStyle w:val="101"/>
        <w:spacing w:line="460" w:lineRule="exact"/>
        <w:ind w:firstLine="480" w:firstLineChars="200"/>
        <w:rPr>
          <w:rFonts w:ascii="宋体" w:hAnsi="宋体" w:cs="宋体"/>
          <w:sz w:val="24"/>
        </w:rPr>
      </w:pPr>
      <w:r>
        <w:rPr>
          <w:rFonts w:hint="eastAsia" w:ascii="宋体" w:hAnsi="宋体" w:cs="宋体"/>
          <w:sz w:val="24"/>
        </w:rPr>
        <w:t>风险范围以外合同价格的调整方法： ①采购人提供的招标工程量清单数量出现计算偏差（不含设计变更），清单工程量按规定的程序经监理工程师及发包人确认后据实调整，清单综合单价不变。对于严重高出市场价的分项报价按评标质询书面承诺执行。</w:t>
      </w:r>
    </w:p>
    <w:p>
      <w:pPr>
        <w:pStyle w:val="101"/>
        <w:spacing w:line="460" w:lineRule="exact"/>
        <w:ind w:firstLine="480" w:firstLineChars="200"/>
        <w:rPr>
          <w:rFonts w:ascii="宋体" w:hAnsi="宋体" w:cs="宋体"/>
          <w:sz w:val="24"/>
        </w:rPr>
      </w:pPr>
      <w:r>
        <w:rPr>
          <w:rFonts w:hint="eastAsia" w:ascii="宋体" w:hAnsi="宋体" w:cs="宋体"/>
          <w:sz w:val="24"/>
        </w:rPr>
        <w:t xml:space="preserve">②工程设计变更的计算，工程量按规定的程序经监理工程师及发包人确认后执行，并按照以下方式确定的综合单价来调整合同价款： </w:t>
      </w:r>
    </w:p>
    <w:p>
      <w:pPr>
        <w:pStyle w:val="101"/>
        <w:spacing w:line="460" w:lineRule="exact"/>
        <w:ind w:firstLine="480" w:firstLineChars="200"/>
        <w:rPr>
          <w:rFonts w:ascii="宋体" w:hAnsi="宋体" w:cs="宋体"/>
          <w:sz w:val="24"/>
        </w:rPr>
      </w:pPr>
      <w:r>
        <w:rPr>
          <w:rFonts w:hint="eastAsia" w:ascii="宋体" w:hAnsi="宋体" w:cs="宋体"/>
          <w:sz w:val="24"/>
        </w:rPr>
        <w:t xml:space="preserve">A、合同中已有适用于变更工程的价格，则按合同已有的价格计算；（严重高出市场价按评标质询承诺结算的项目,其单价按上述第①款计算）； </w:t>
      </w:r>
    </w:p>
    <w:p>
      <w:pPr>
        <w:pStyle w:val="101"/>
        <w:spacing w:line="460" w:lineRule="exact"/>
        <w:ind w:firstLine="480" w:firstLineChars="200"/>
        <w:rPr>
          <w:rFonts w:ascii="宋体" w:hAnsi="宋体" w:cs="宋体"/>
          <w:sz w:val="24"/>
        </w:rPr>
      </w:pPr>
      <w:r>
        <w:rPr>
          <w:rFonts w:hint="eastAsia" w:ascii="宋体" w:hAnsi="宋体" w:cs="宋体"/>
          <w:sz w:val="24"/>
        </w:rPr>
        <w:t xml:space="preserve">B、合同中只有类似变更工程的价格，则按类似变更工程价格确定变更价格，调整合同价款； </w:t>
      </w:r>
    </w:p>
    <w:p>
      <w:pPr>
        <w:pStyle w:val="101"/>
        <w:spacing w:line="460" w:lineRule="exact"/>
        <w:ind w:firstLine="480" w:firstLineChars="200"/>
        <w:rPr>
          <w:rFonts w:ascii="宋体" w:hAnsi="宋体" w:cs="宋体"/>
          <w:sz w:val="24"/>
        </w:rPr>
      </w:pPr>
      <w:r>
        <w:rPr>
          <w:rFonts w:hint="eastAsia" w:ascii="宋体" w:hAnsi="宋体" w:cs="宋体"/>
          <w:sz w:val="24"/>
        </w:rPr>
        <w:t xml:space="preserve">C、合同中没有适用或类似于变更工程的价格，则按与投标价格水平相一致的原则，由承包人提出适当的变更价格，经监理工程师及发包人确认后予以调整合同价款。 </w:t>
      </w:r>
    </w:p>
    <w:p>
      <w:pPr>
        <w:pStyle w:val="101"/>
        <w:spacing w:line="460" w:lineRule="exact"/>
        <w:ind w:firstLine="480" w:firstLineChars="200"/>
        <w:rPr>
          <w:rFonts w:ascii="宋体" w:hAnsi="宋体" w:cs="宋体"/>
          <w:sz w:val="24"/>
        </w:rPr>
      </w:pPr>
      <w:r>
        <w:rPr>
          <w:rFonts w:hint="eastAsia" w:ascii="宋体" w:hAnsi="宋体" w:cs="宋体"/>
          <w:sz w:val="24"/>
        </w:rPr>
        <w:t>③投标报价（相对于采购人提供的工程量清单）有漏项或有未填报项目，则此项目的费用视为已包括在中标的投标报价的其他单价和合价中；该项目费用结算时，监理工程师及发包人应对投标报价漏项或未填报项目的工程量进行确认，并与采购人提供的清单工程量对比，按下列原则办理：</w:t>
      </w:r>
    </w:p>
    <w:p>
      <w:pPr>
        <w:pStyle w:val="101"/>
        <w:spacing w:line="460" w:lineRule="exact"/>
        <w:ind w:firstLine="480" w:firstLineChars="200"/>
        <w:rPr>
          <w:rFonts w:ascii="宋体" w:hAnsi="宋体" w:cs="宋体"/>
          <w:sz w:val="24"/>
        </w:rPr>
      </w:pPr>
      <w:r>
        <w:rPr>
          <w:rFonts w:hint="eastAsia" w:ascii="宋体" w:hAnsi="宋体" w:cs="宋体"/>
          <w:sz w:val="24"/>
        </w:rPr>
        <w:t xml:space="preserve">A、两者工程量相等时，该项目费用不得补计； </w:t>
      </w:r>
    </w:p>
    <w:p>
      <w:pPr>
        <w:pStyle w:val="101"/>
        <w:spacing w:line="460" w:lineRule="exact"/>
        <w:ind w:firstLine="480" w:firstLineChars="200"/>
        <w:rPr>
          <w:rFonts w:ascii="宋体" w:hAnsi="宋体" w:cs="宋体"/>
          <w:sz w:val="24"/>
        </w:rPr>
      </w:pPr>
      <w:r>
        <w:rPr>
          <w:rFonts w:hint="eastAsia" w:ascii="宋体" w:hAnsi="宋体" w:cs="宋体"/>
          <w:sz w:val="24"/>
        </w:rPr>
        <w:t xml:space="preserve">B、确认工程量比采购人提供的工程量增加时，增加部分工程量参照现行消耗量定额和市场价格，并按照与投标水平相一致的原则调整合同价款； </w:t>
      </w:r>
    </w:p>
    <w:p>
      <w:pPr>
        <w:pStyle w:val="101"/>
        <w:spacing w:line="460" w:lineRule="exact"/>
        <w:ind w:firstLine="480" w:firstLineChars="200"/>
        <w:rPr>
          <w:rFonts w:ascii="宋体" w:hAnsi="宋体" w:cs="宋体"/>
          <w:sz w:val="24"/>
        </w:rPr>
      </w:pPr>
      <w:r>
        <w:rPr>
          <w:rFonts w:hint="eastAsia" w:ascii="宋体" w:hAnsi="宋体" w:cs="宋体"/>
          <w:sz w:val="24"/>
        </w:rPr>
        <w:t xml:space="preserve">C、确认工程量比采购人提供的工程量减少时，减少部分工程量参照现行消耗量定额和市场价格，按照与投标水平相一致的原则从合同总价款中予以扣除。 </w:t>
      </w:r>
    </w:p>
    <w:p>
      <w:pPr>
        <w:pStyle w:val="101"/>
        <w:spacing w:line="460" w:lineRule="exact"/>
        <w:ind w:firstLine="480" w:firstLineChars="200"/>
        <w:rPr>
          <w:rFonts w:ascii="宋体" w:hAnsi="宋体" w:cs="宋体"/>
          <w:sz w:val="24"/>
        </w:rPr>
      </w:pPr>
      <w:r>
        <w:rPr>
          <w:rFonts w:hint="eastAsia" w:ascii="宋体" w:hAnsi="宋体" w:cs="宋体"/>
          <w:sz w:val="24"/>
        </w:rPr>
        <w:t xml:space="preserve">④当分部分项工程量清单符合上述第①、②、③条价款调整条件时，对应措施项目报价予以调整。其中组织措施费按相关规定调整，技术措施费根据承包人提供的分部分项工程量清单全费用综合单价分析表对应的技术措施费用组成明细，按与投标报价水平相一致原则进行调整。 </w:t>
      </w:r>
    </w:p>
    <w:p>
      <w:pPr>
        <w:pStyle w:val="101"/>
        <w:spacing w:line="460" w:lineRule="exact"/>
        <w:ind w:firstLine="480" w:firstLineChars="200"/>
        <w:rPr>
          <w:rFonts w:ascii="宋体" w:hAnsi="宋体" w:cs="宋体"/>
          <w:sz w:val="24"/>
        </w:rPr>
      </w:pPr>
      <w:r>
        <w:rPr>
          <w:rFonts w:hint="eastAsia" w:ascii="宋体" w:hAnsi="宋体" w:cs="宋体"/>
          <w:sz w:val="24"/>
        </w:rPr>
        <w:t>⑤当分部分项工程量清单、措施项目清单及其他项目清单报价调整时，规费和税金按相关规定予以调整。</w:t>
      </w:r>
    </w:p>
    <w:p>
      <w:pPr>
        <w:pStyle w:val="101"/>
        <w:spacing w:line="460" w:lineRule="exact"/>
        <w:ind w:firstLine="480" w:firstLineChars="200"/>
        <w:rPr>
          <w:rFonts w:ascii="宋体" w:hAnsi="宋体" w:cs="宋体"/>
          <w:sz w:val="24"/>
        </w:rPr>
      </w:pPr>
      <w:r>
        <w:rPr>
          <w:rFonts w:hint="eastAsia" w:ascii="宋体" w:hAnsi="宋体" w:cs="宋体"/>
          <w:sz w:val="24"/>
        </w:rPr>
        <w:t xml:space="preserve">⑥承包人投标报价时必须按发包人提供的监购材料的暂定材料单价计算分部分项综合单价（此暂定材料单价为运送至工地的价格）。若采购合同价与暂定价不一致，则发包人按承包人中标时提供的材料消耗量(若承包人提供的材料消耗量高于现行消耗量定额标准的,则以现行消耗量定额标准为准)和材料价差（采购合同单价减暂定单价）只计取税金并入结算，对应的综合单价及相关费用不予以调整。  </w:t>
      </w:r>
    </w:p>
    <w:p>
      <w:pPr>
        <w:pStyle w:val="101"/>
        <w:spacing w:line="460" w:lineRule="exact"/>
        <w:ind w:firstLine="480" w:firstLineChars="200"/>
        <w:rPr>
          <w:rFonts w:ascii="宋体" w:hAnsi="宋体" w:cs="宋体"/>
          <w:sz w:val="24"/>
        </w:rPr>
      </w:pPr>
      <w:r>
        <w:rPr>
          <w:rFonts w:hint="eastAsia" w:ascii="宋体" w:hAnsi="宋体" w:cs="宋体"/>
          <w:sz w:val="24"/>
        </w:rPr>
        <w:t xml:space="preserve">⑦本工程其它材料价格在合同执行期间不予调整。 </w:t>
      </w:r>
    </w:p>
    <w:p>
      <w:pPr>
        <w:pStyle w:val="101"/>
        <w:spacing w:line="460" w:lineRule="exact"/>
        <w:ind w:left="420" w:firstLine="60" w:firstLineChars="25"/>
        <w:rPr>
          <w:rFonts w:ascii="宋体" w:hAnsi="宋体" w:cs="宋体"/>
          <w:sz w:val="24"/>
        </w:rPr>
      </w:pPr>
      <w:r>
        <w:rPr>
          <w:rFonts w:hint="eastAsia" w:ascii="宋体" w:hAnsi="宋体" w:cs="宋体"/>
          <w:sz w:val="24"/>
        </w:rPr>
        <w:t>⑧本合同执行过程中若发生计时工，计时工单价按承包人中标价中的普工计。本合同执行过程中若发生签证机械台班，签证机械台班单价按本工程执行的相关费用定额机械台班单价计。</w:t>
      </w:r>
    </w:p>
    <w:p>
      <w:pPr>
        <w:pStyle w:val="101"/>
        <w:tabs>
          <w:tab w:val="left" w:pos="8100"/>
        </w:tabs>
        <w:spacing w:line="460" w:lineRule="exact"/>
        <w:ind w:left="420" w:firstLine="60" w:firstLineChars="25"/>
        <w:rPr>
          <w:rFonts w:ascii="宋体" w:hAnsi="宋体" w:cs="宋体"/>
          <w:sz w:val="24"/>
        </w:rPr>
      </w:pPr>
      <w:r>
        <w:rPr>
          <w:rFonts w:hint="eastAsia" w:ascii="宋体" w:hAnsi="宋体" w:cs="宋体"/>
          <w:sz w:val="24"/>
        </w:rPr>
        <w:t xml:space="preserve">2、总价合同。 </w:t>
      </w:r>
    </w:p>
    <w:p>
      <w:pPr>
        <w:pStyle w:val="101"/>
        <w:spacing w:line="460" w:lineRule="exact"/>
        <w:ind w:firstLine="480" w:firstLineChars="200"/>
        <w:rPr>
          <w:rFonts w:ascii="宋体" w:hAnsi="宋体" w:cs="宋体"/>
          <w:sz w:val="24"/>
        </w:rPr>
      </w:pPr>
      <w:r>
        <w:rPr>
          <w:rFonts w:hint="eastAsia" w:ascii="宋体" w:hAnsi="宋体" w:cs="宋体"/>
          <w:sz w:val="24"/>
        </w:rPr>
        <w:t xml:space="preserve">不适用。 </w:t>
      </w:r>
    </w:p>
    <w:p>
      <w:pPr>
        <w:pStyle w:val="101"/>
        <w:spacing w:line="460" w:lineRule="exact"/>
        <w:ind w:firstLine="480" w:firstLineChars="200"/>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3、其他价格方式：本合同执行过程中若发生计时工，计时工单价按承包人中标价中的普工计。 </w:t>
      </w:r>
    </w:p>
    <w:p>
      <w:pPr>
        <w:pStyle w:val="101"/>
        <w:spacing w:line="460" w:lineRule="exact"/>
        <w:ind w:firstLine="480" w:firstLineChars="200"/>
        <w:outlineLvl w:val="0"/>
        <w:rPr>
          <w:rFonts w:ascii="宋体" w:hAnsi="宋体" w:cs="宋体"/>
          <w:sz w:val="24"/>
        </w:rPr>
      </w:pPr>
      <w:bookmarkStart w:id="394" w:name="_Toc3293"/>
      <w:bookmarkStart w:id="395" w:name="_Toc2296"/>
      <w:bookmarkStart w:id="396" w:name="_Toc18123"/>
      <w:bookmarkStart w:id="397" w:name="_Toc8508"/>
      <w:bookmarkStart w:id="398" w:name="_Toc6898"/>
      <w:bookmarkStart w:id="399" w:name="_Toc11167"/>
      <w:bookmarkStart w:id="400" w:name="_Toc15855"/>
      <w:bookmarkStart w:id="401" w:name="_Toc3638"/>
      <w:r>
        <w:rPr>
          <w:rFonts w:hint="eastAsia" w:ascii="宋体" w:hAnsi="宋体" w:cs="宋体"/>
          <w:sz w:val="24"/>
        </w:rPr>
        <w:t>12.2 预付款</w:t>
      </w:r>
      <w:bookmarkEnd w:id="394"/>
      <w:bookmarkEnd w:id="395"/>
      <w:bookmarkEnd w:id="396"/>
      <w:bookmarkEnd w:id="397"/>
      <w:bookmarkEnd w:id="398"/>
      <w:bookmarkEnd w:id="399"/>
      <w:bookmarkEnd w:id="400"/>
      <w:bookmarkEnd w:id="401"/>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12.2.1 预付款的支付 </w:t>
      </w:r>
    </w:p>
    <w:p>
      <w:pPr>
        <w:pStyle w:val="101"/>
        <w:spacing w:line="460" w:lineRule="exact"/>
        <w:ind w:firstLine="480" w:firstLineChars="200"/>
        <w:rPr>
          <w:rFonts w:ascii="宋体" w:hAnsi="宋体" w:cs="宋体"/>
          <w:sz w:val="24"/>
        </w:rPr>
      </w:pPr>
      <w:r>
        <w:rPr>
          <w:rFonts w:hint="eastAsia" w:ascii="宋体" w:hAnsi="宋体" w:cs="宋体"/>
          <w:sz w:val="24"/>
        </w:rPr>
        <w:t>预付款支付比例或金额：</w:t>
      </w:r>
      <w:r>
        <w:rPr>
          <w:rFonts w:hint="eastAsia" w:ascii="宋体" w:hAnsi="宋体" w:cs="宋体"/>
          <w:sz w:val="24"/>
          <w:u w:val="single"/>
        </w:rPr>
        <w:t>/</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预付款支付期限： /。 </w:t>
      </w:r>
    </w:p>
    <w:p>
      <w:pPr>
        <w:pStyle w:val="101"/>
        <w:spacing w:line="460" w:lineRule="exact"/>
        <w:ind w:firstLine="480" w:firstLineChars="200"/>
        <w:rPr>
          <w:rFonts w:ascii="宋体" w:hAnsi="宋体" w:cs="宋体"/>
          <w:sz w:val="24"/>
        </w:rPr>
      </w:pPr>
      <w:r>
        <w:rPr>
          <w:rFonts w:hint="eastAsia" w:ascii="宋体" w:hAnsi="宋体" w:cs="宋体"/>
          <w:sz w:val="24"/>
        </w:rPr>
        <w:t>预付款扣回的方式：</w:t>
      </w:r>
      <w:r>
        <w:rPr>
          <w:rFonts w:hint="eastAsia" w:ascii="宋体" w:hAnsi="宋体" w:cs="宋体"/>
          <w:sz w:val="24"/>
          <w:u w:val="single"/>
        </w:rPr>
        <w:t xml:space="preserve">/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12.2.2 预付款担保 </w:t>
      </w:r>
    </w:p>
    <w:p>
      <w:pPr>
        <w:pStyle w:val="101"/>
        <w:spacing w:line="460" w:lineRule="exact"/>
        <w:ind w:firstLine="480" w:firstLineChars="200"/>
        <w:rPr>
          <w:rFonts w:ascii="宋体" w:hAnsi="宋体" w:cs="宋体"/>
          <w:sz w:val="24"/>
        </w:rPr>
      </w:pPr>
      <w:r>
        <w:rPr>
          <w:rFonts w:hint="eastAsia" w:ascii="宋体" w:hAnsi="宋体" w:cs="宋体"/>
          <w:sz w:val="24"/>
        </w:rPr>
        <w:t xml:space="preserve">承包人提交预付款担保的期限： </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预付款担保的形式为： </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402" w:name="_Toc27489"/>
      <w:bookmarkStart w:id="403" w:name="_Toc11079"/>
      <w:bookmarkStart w:id="404" w:name="_Toc6065"/>
      <w:bookmarkStart w:id="405" w:name="_Toc26771"/>
      <w:bookmarkStart w:id="406" w:name="_Toc1073"/>
      <w:bookmarkStart w:id="407" w:name="_Toc16979"/>
      <w:bookmarkStart w:id="408" w:name="_Toc9058"/>
      <w:bookmarkStart w:id="409" w:name="_Toc1042"/>
      <w:r>
        <w:rPr>
          <w:rFonts w:hint="eastAsia" w:ascii="宋体" w:hAnsi="宋体" w:cs="宋体"/>
          <w:sz w:val="24"/>
        </w:rPr>
        <w:t>12.3 计量</w:t>
      </w:r>
      <w:bookmarkEnd w:id="402"/>
      <w:bookmarkEnd w:id="403"/>
      <w:bookmarkEnd w:id="404"/>
      <w:bookmarkEnd w:id="405"/>
      <w:bookmarkEnd w:id="406"/>
      <w:bookmarkEnd w:id="407"/>
      <w:bookmarkEnd w:id="408"/>
      <w:bookmarkEnd w:id="409"/>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12.3.1 计量原则 </w:t>
      </w:r>
    </w:p>
    <w:p>
      <w:pPr>
        <w:pStyle w:val="101"/>
        <w:spacing w:line="460" w:lineRule="exact"/>
        <w:ind w:firstLine="480" w:firstLineChars="200"/>
        <w:rPr>
          <w:rFonts w:ascii="宋体" w:hAnsi="宋体" w:cs="宋体"/>
          <w:sz w:val="24"/>
        </w:rPr>
      </w:pPr>
      <w:r>
        <w:rPr>
          <w:rFonts w:hint="eastAsia" w:ascii="宋体" w:hAnsi="宋体" w:cs="宋体"/>
          <w:sz w:val="24"/>
        </w:rPr>
        <w:t xml:space="preserve">工程量计算规则： 《建设工程工程量清单计价规范》（GB50500-2013） 。  </w:t>
      </w:r>
    </w:p>
    <w:p>
      <w:pPr>
        <w:pStyle w:val="101"/>
        <w:spacing w:line="460" w:lineRule="exact"/>
        <w:ind w:firstLine="480" w:firstLineChars="200"/>
        <w:rPr>
          <w:rFonts w:ascii="宋体" w:hAnsi="宋体" w:cs="宋体"/>
          <w:sz w:val="24"/>
        </w:rPr>
      </w:pPr>
      <w:r>
        <w:rPr>
          <w:rFonts w:hint="eastAsia" w:ascii="宋体" w:hAnsi="宋体" w:cs="宋体"/>
          <w:sz w:val="24"/>
        </w:rPr>
        <w:t xml:space="preserve">12.3.2 计量周期 </w:t>
      </w:r>
    </w:p>
    <w:p>
      <w:pPr>
        <w:pStyle w:val="101"/>
        <w:spacing w:line="460" w:lineRule="exact"/>
        <w:ind w:firstLine="480" w:firstLineChars="200"/>
        <w:rPr>
          <w:rFonts w:ascii="宋体" w:hAnsi="宋体" w:cs="宋体"/>
          <w:sz w:val="24"/>
        </w:rPr>
      </w:pPr>
      <w:r>
        <w:rPr>
          <w:rFonts w:hint="eastAsia" w:ascii="宋体" w:hAnsi="宋体" w:cs="宋体"/>
          <w:sz w:val="24"/>
        </w:rPr>
        <w:t xml:space="preserve">关于计量周期的约定：工程计量按月进度计量，每月 25 日前向监理工程师报送下月“工程进度计划表”和本月“工程进度月报表”。 </w:t>
      </w:r>
    </w:p>
    <w:p>
      <w:pPr>
        <w:pStyle w:val="101"/>
        <w:spacing w:line="460" w:lineRule="exact"/>
        <w:ind w:firstLine="480" w:firstLineChars="200"/>
        <w:rPr>
          <w:rFonts w:ascii="宋体" w:hAnsi="宋体" w:cs="宋体"/>
          <w:sz w:val="24"/>
        </w:rPr>
      </w:pPr>
      <w:r>
        <w:rPr>
          <w:rFonts w:hint="eastAsia" w:ascii="宋体" w:hAnsi="宋体" w:cs="宋体"/>
          <w:sz w:val="24"/>
        </w:rPr>
        <w:t xml:space="preserve">12.3.3 单价合同的计量 </w:t>
      </w:r>
    </w:p>
    <w:p>
      <w:pPr>
        <w:pStyle w:val="101"/>
        <w:spacing w:line="460" w:lineRule="exact"/>
        <w:ind w:firstLine="480" w:firstLineChars="200"/>
        <w:rPr>
          <w:rFonts w:ascii="宋体" w:hAnsi="宋体" w:cs="宋体"/>
          <w:sz w:val="24"/>
          <w:u w:val="single"/>
        </w:rPr>
      </w:pPr>
      <w:r>
        <w:rPr>
          <w:rFonts w:hint="eastAsia" w:ascii="宋体" w:hAnsi="宋体" w:cs="宋体"/>
          <w:sz w:val="24"/>
        </w:rPr>
        <w:t>关于单价合同计量的约定：</w:t>
      </w:r>
      <w:r>
        <w:rPr>
          <w:rFonts w:hint="eastAsia" w:ascii="宋体" w:hAnsi="宋体" w:cs="宋体"/>
          <w:sz w:val="24"/>
          <w:u w:val="single"/>
        </w:rPr>
        <w:t xml:space="preserve">（1）工程计量时，若发现招标工程量清单中出现缺项、工程量偏差，或因工程变更引起工程量的增减，应按承包人在履行合同过程中实际完成的工程量计算。 </w:t>
      </w:r>
    </w:p>
    <w:p>
      <w:pPr>
        <w:pStyle w:val="101"/>
        <w:spacing w:line="460" w:lineRule="exact"/>
        <w:ind w:firstLine="420"/>
        <w:rPr>
          <w:rFonts w:ascii="宋体" w:hAnsi="宋体" w:cs="宋体"/>
          <w:sz w:val="24"/>
          <w:u w:val="single"/>
        </w:rPr>
      </w:pPr>
      <w:r>
        <w:rPr>
          <w:rFonts w:hint="eastAsia" w:ascii="宋体" w:hAnsi="宋体" w:cs="宋体"/>
          <w:sz w:val="24"/>
        </w:rPr>
        <w:t>（2）</w:t>
      </w:r>
      <w:r>
        <w:rPr>
          <w:rFonts w:hint="eastAsia" w:ascii="宋体" w:hAnsi="宋体" w:cs="宋体"/>
          <w:sz w:val="24"/>
          <w:u w:val="single"/>
        </w:rPr>
        <w:t xml:space="preserve">承包人应当按照合同约定的计量周期和时间，向发包人提交当期已完 工程量报告。发包人应在收到报告后7天内核实，并将核实计量结果通知承包人。 发包人未在约定时间内进行核实的，则承包人提交的计量报告中所列的工程量视 为承包人实际完成的工程量。 </w:t>
      </w:r>
    </w:p>
    <w:p>
      <w:pPr>
        <w:pStyle w:val="101"/>
        <w:spacing w:line="460" w:lineRule="exact"/>
        <w:ind w:firstLine="420"/>
        <w:rPr>
          <w:rFonts w:ascii="宋体" w:hAnsi="宋体" w:cs="宋体"/>
          <w:sz w:val="24"/>
          <w:u w:val="single"/>
        </w:rPr>
      </w:pPr>
      <w:r>
        <w:rPr>
          <w:rFonts w:hint="eastAsia" w:ascii="宋体" w:hAnsi="宋体" w:cs="宋体"/>
          <w:sz w:val="24"/>
        </w:rPr>
        <w:t>（3）</w:t>
      </w:r>
      <w:r>
        <w:rPr>
          <w:rFonts w:hint="eastAsia" w:ascii="宋体" w:hAnsi="宋体" w:cs="宋体"/>
          <w:sz w:val="24"/>
          <w:u w:val="single"/>
        </w:rPr>
        <w:t>发包人认为需要进行现场计量核实时，应在计量前24 小时通知承包人，承包人应为计量提供便利条件并派人参加。双方均同意核实结果时，则双方应在上述记录上签字确认。承包人收到通知后不派人参加计量，视为认可发包人的计量核实结果。发包人不按照约定时间通知承包人，致使承包人未能派人参加计量，计量核实结果无效。</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12.3.4 总价合同的计量关于总价合同计量的约定：无。</w:t>
      </w:r>
    </w:p>
    <w:p>
      <w:pPr>
        <w:pStyle w:val="101"/>
        <w:spacing w:line="460" w:lineRule="exact"/>
        <w:ind w:firstLine="480" w:firstLineChars="200"/>
        <w:rPr>
          <w:rFonts w:ascii="宋体" w:hAnsi="宋体" w:cs="宋体"/>
          <w:sz w:val="24"/>
        </w:rPr>
      </w:pPr>
      <w:r>
        <w:rPr>
          <w:rFonts w:hint="eastAsia" w:ascii="宋体" w:hAnsi="宋体" w:cs="宋体"/>
          <w:sz w:val="24"/>
        </w:rPr>
        <w:t>12.3.5总价合同采用支付分解表计量支付的，是否适用第 12.3.4 项〔总价合同的计量〕约定进行计量：</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12.3.6 其他价格形式合同的计量 </w:t>
      </w:r>
    </w:p>
    <w:p>
      <w:pPr>
        <w:pStyle w:val="101"/>
        <w:spacing w:line="460" w:lineRule="exact"/>
        <w:ind w:firstLine="480" w:firstLineChars="200"/>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410" w:name="_Toc28553"/>
      <w:bookmarkStart w:id="411" w:name="_Toc10876"/>
      <w:bookmarkStart w:id="412" w:name="_Toc25523"/>
      <w:bookmarkStart w:id="413" w:name="_Toc5141"/>
      <w:bookmarkStart w:id="414" w:name="_Toc11681"/>
      <w:bookmarkStart w:id="415" w:name="_Toc9437"/>
      <w:bookmarkStart w:id="416" w:name="_Toc14348"/>
      <w:bookmarkStart w:id="417" w:name="_Toc24772"/>
      <w:r>
        <w:rPr>
          <w:rFonts w:hint="eastAsia" w:ascii="宋体" w:hAnsi="宋体" w:cs="宋体"/>
          <w:sz w:val="24"/>
        </w:rPr>
        <w:t>12.4 工程进度款支付</w:t>
      </w:r>
      <w:bookmarkEnd w:id="410"/>
      <w:bookmarkEnd w:id="411"/>
      <w:bookmarkEnd w:id="412"/>
      <w:bookmarkEnd w:id="413"/>
      <w:bookmarkEnd w:id="414"/>
      <w:bookmarkEnd w:id="415"/>
      <w:bookmarkEnd w:id="416"/>
      <w:bookmarkEnd w:id="417"/>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12.4.1 付款周期 </w:t>
      </w:r>
    </w:p>
    <w:p>
      <w:pPr>
        <w:pStyle w:val="101"/>
        <w:spacing w:line="460" w:lineRule="exact"/>
        <w:ind w:firstLine="480" w:firstLineChars="200"/>
        <w:rPr>
          <w:rFonts w:ascii="宋体" w:hAnsi="宋体" w:cs="宋体"/>
          <w:sz w:val="24"/>
        </w:rPr>
      </w:pPr>
      <w:r>
        <w:rPr>
          <w:rFonts w:hint="eastAsia" w:ascii="宋体" w:hAnsi="宋体" w:cs="宋体"/>
          <w:sz w:val="24"/>
        </w:rPr>
        <w:t>关于</w:t>
      </w:r>
      <w:r>
        <w:rPr>
          <w:rFonts w:hint="eastAsia" w:ascii="宋体" w:hAnsi="宋体" w:cs="宋体"/>
          <w:b/>
          <w:sz w:val="24"/>
        </w:rPr>
        <w:t>付款周期</w:t>
      </w:r>
      <w:r>
        <w:rPr>
          <w:rFonts w:hint="eastAsia" w:ascii="宋体" w:hAnsi="宋体" w:cs="宋体"/>
          <w:sz w:val="24"/>
        </w:rPr>
        <w:t>的约定：</w:t>
      </w:r>
    </w:p>
    <w:p>
      <w:pPr>
        <w:pStyle w:val="77"/>
        <w:spacing w:before="0" w:after="0" w:line="460" w:lineRule="exact"/>
        <w:ind w:left="0" w:firstLine="482" w:firstLineChars="200"/>
        <w:jc w:val="left"/>
        <w:rPr>
          <w:rFonts w:ascii="宋体" w:hAnsi="宋体" w:cs="宋体"/>
          <w:b/>
          <w:sz w:val="24"/>
        </w:rPr>
      </w:pPr>
      <w:r>
        <w:rPr>
          <w:rFonts w:hint="eastAsia" w:ascii="宋体" w:hAnsi="宋体" w:cs="宋体"/>
          <w:b/>
          <w:sz w:val="24"/>
        </w:rPr>
        <w:t>（1）本合同签订后，以承包人进场或签发开工令时间为准一周内，甲方支付签约合同价款（扣除暂列金）的10%（含安全防护、文明施工措施费）；</w:t>
      </w:r>
    </w:p>
    <w:p>
      <w:pPr>
        <w:pStyle w:val="77"/>
        <w:spacing w:before="0" w:after="0" w:line="460" w:lineRule="exact"/>
        <w:ind w:left="0" w:firstLine="482" w:firstLineChars="200"/>
        <w:jc w:val="left"/>
        <w:rPr>
          <w:rFonts w:ascii="宋体" w:hAnsi="宋体" w:cs="宋体"/>
          <w:b/>
          <w:sz w:val="24"/>
        </w:rPr>
      </w:pPr>
      <w:r>
        <w:rPr>
          <w:rFonts w:hint="eastAsia" w:ascii="宋体" w:hAnsi="宋体" w:cs="宋体"/>
          <w:b/>
          <w:sz w:val="24"/>
        </w:rPr>
        <w:t>（2）本合同工程经竣工验收合格后，支付至合同价款（扣除暂列金）的80%；</w:t>
      </w:r>
    </w:p>
    <w:p>
      <w:pPr>
        <w:pStyle w:val="77"/>
        <w:spacing w:before="0" w:after="0" w:line="460" w:lineRule="exact"/>
        <w:ind w:left="0" w:firstLine="482" w:firstLineChars="200"/>
        <w:jc w:val="left"/>
        <w:rPr>
          <w:rFonts w:ascii="宋体" w:hAnsi="宋体" w:cs="宋体"/>
          <w:b/>
          <w:sz w:val="24"/>
        </w:rPr>
      </w:pPr>
      <w:r>
        <w:rPr>
          <w:rFonts w:hint="eastAsia" w:ascii="宋体" w:hAnsi="宋体" w:cs="宋体"/>
          <w:b/>
          <w:sz w:val="24"/>
        </w:rPr>
        <w:t>（3）本合同工程结算审计完成并移交工程竣工资料后，支付至审计结果的97%；</w:t>
      </w:r>
    </w:p>
    <w:p>
      <w:pPr>
        <w:pStyle w:val="77"/>
        <w:spacing w:before="0" w:after="0" w:line="460" w:lineRule="exact"/>
        <w:ind w:left="0" w:firstLine="482" w:firstLineChars="200"/>
        <w:jc w:val="left"/>
        <w:rPr>
          <w:rFonts w:ascii="宋体" w:hAnsi="宋体" w:cs="宋体"/>
          <w:b/>
          <w:sz w:val="24"/>
        </w:rPr>
      </w:pPr>
      <w:r>
        <w:rPr>
          <w:rFonts w:hint="eastAsia" w:ascii="宋体" w:hAnsi="宋体" w:cs="宋体"/>
          <w:b/>
          <w:sz w:val="24"/>
        </w:rPr>
        <w:t>（4）缺陷责任期满并验收合格后支付剩余3%。</w:t>
      </w:r>
    </w:p>
    <w:p>
      <w:pPr>
        <w:pStyle w:val="77"/>
        <w:spacing w:before="0" w:after="0" w:line="460" w:lineRule="exact"/>
        <w:ind w:left="0" w:firstLine="480" w:firstLineChars="200"/>
        <w:jc w:val="left"/>
        <w:rPr>
          <w:rFonts w:ascii="宋体" w:hAnsi="宋体" w:cs="宋体"/>
          <w:sz w:val="24"/>
        </w:rPr>
      </w:pPr>
      <w:r>
        <w:rPr>
          <w:rFonts w:hint="eastAsia" w:ascii="宋体" w:hAnsi="宋体" w:cs="宋体"/>
          <w:sz w:val="24"/>
        </w:rPr>
        <w:t>每笔工程款支付前，需承包人向发包人进行付款申请，并经监理方、建设方、交运集团公司三方审核同意后，方可进行支付。</w:t>
      </w:r>
    </w:p>
    <w:p>
      <w:pPr>
        <w:pStyle w:val="101"/>
        <w:spacing w:line="460" w:lineRule="exact"/>
        <w:ind w:firstLine="480" w:firstLineChars="200"/>
        <w:rPr>
          <w:rFonts w:ascii="宋体" w:hAnsi="宋体" w:cs="宋体"/>
          <w:sz w:val="24"/>
        </w:rPr>
      </w:pPr>
      <w:r>
        <w:rPr>
          <w:rFonts w:hint="eastAsia" w:ascii="宋体" w:hAnsi="宋体" w:cs="宋体"/>
          <w:sz w:val="24"/>
        </w:rPr>
        <w:t xml:space="preserve">12.4.2 进度付款申请单的编制 </w:t>
      </w:r>
    </w:p>
    <w:p>
      <w:pPr>
        <w:pStyle w:val="101"/>
        <w:spacing w:line="460" w:lineRule="exact"/>
        <w:ind w:firstLine="480" w:firstLineChars="200"/>
        <w:rPr>
          <w:rFonts w:ascii="宋体" w:hAnsi="宋体" w:cs="宋体"/>
          <w:sz w:val="24"/>
        </w:rPr>
      </w:pPr>
      <w:r>
        <w:rPr>
          <w:rFonts w:hint="eastAsia" w:ascii="宋体" w:hAnsi="宋体" w:cs="宋体"/>
          <w:sz w:val="24"/>
        </w:rPr>
        <w:t>关于进度付款申请单编制的约定：</w:t>
      </w:r>
      <w:r>
        <w:rPr>
          <w:rFonts w:hint="eastAsia" w:ascii="宋体" w:hAnsi="宋体" w:cs="宋体"/>
          <w:sz w:val="24"/>
          <w:u w:val="single"/>
        </w:rPr>
        <w:t xml:space="preserve"> 按通用条款规定执行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12.4.3 进度付款申请单的提交 </w:t>
      </w:r>
    </w:p>
    <w:p>
      <w:pPr>
        <w:pStyle w:val="101"/>
        <w:spacing w:line="460" w:lineRule="exact"/>
        <w:ind w:firstLine="480" w:firstLineChars="200"/>
        <w:rPr>
          <w:rFonts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按合同付款约定执行</w:t>
      </w:r>
    </w:p>
    <w:p>
      <w:pPr>
        <w:pStyle w:val="101"/>
        <w:spacing w:line="460" w:lineRule="exact"/>
        <w:ind w:firstLine="480" w:firstLineChars="200"/>
        <w:rPr>
          <w:rFonts w:ascii="宋体" w:hAnsi="宋体" w:cs="宋体"/>
          <w:sz w:val="24"/>
          <w:u w:val="single"/>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pPr>
        <w:pStyle w:val="101"/>
        <w:spacing w:line="460" w:lineRule="exact"/>
        <w:ind w:firstLine="480" w:firstLineChars="200"/>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12.4.4 进度款审核和支付 </w:t>
      </w:r>
    </w:p>
    <w:p>
      <w:pPr>
        <w:pStyle w:val="101"/>
        <w:spacing w:line="460" w:lineRule="exact"/>
        <w:ind w:firstLine="480" w:firstLineChars="200"/>
        <w:rPr>
          <w:rFonts w:ascii="宋体" w:hAnsi="宋体" w:cs="宋体"/>
          <w:sz w:val="24"/>
        </w:rPr>
      </w:pPr>
      <w:r>
        <w:rPr>
          <w:rFonts w:hint="eastAsia" w:ascii="宋体" w:hAnsi="宋体" w:cs="宋体"/>
          <w:sz w:val="24"/>
        </w:rPr>
        <w:t>（1）监理人审查并报送发包人的期限：</w:t>
      </w:r>
      <w:r>
        <w:rPr>
          <w:rFonts w:hint="eastAsia" w:ascii="宋体" w:hAnsi="宋体" w:cs="宋体"/>
          <w:sz w:val="24"/>
          <w:u w:val="single"/>
        </w:rPr>
        <w:t xml:space="preserve"> 收到申请后7 天内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发包人完成审批并签发进度款支付证书的期限：</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14 天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 xml:space="preserve"> 。 </w:t>
      </w:r>
    </w:p>
    <w:p>
      <w:pPr>
        <w:pStyle w:val="101"/>
        <w:spacing w:line="460" w:lineRule="exact"/>
        <w:ind w:firstLine="480" w:firstLineChars="200"/>
        <w:rPr>
          <w:rFonts w:ascii="宋体" w:hAnsi="宋体" w:cs="宋体"/>
          <w:sz w:val="24"/>
        </w:rPr>
      </w:pPr>
      <w:r>
        <w:rPr>
          <w:rFonts w:hint="eastAsia" w:ascii="宋体" w:hAnsi="宋体" w:cs="宋体"/>
          <w:sz w:val="24"/>
        </w:rPr>
        <w:t xml:space="preserve">12.4.6 支付分解表的编制 </w:t>
      </w:r>
    </w:p>
    <w:p>
      <w:pPr>
        <w:pStyle w:val="101"/>
        <w:spacing w:line="460" w:lineRule="exact"/>
        <w:ind w:firstLine="480" w:firstLineChars="200"/>
        <w:rPr>
          <w:rFonts w:ascii="宋体" w:hAnsi="宋体" w:cs="宋体"/>
          <w:sz w:val="24"/>
        </w:rPr>
      </w:pPr>
      <w:r>
        <w:rPr>
          <w:rFonts w:hint="eastAsia" w:ascii="宋体" w:hAnsi="宋体" w:cs="宋体"/>
          <w:sz w:val="24"/>
        </w:rPr>
        <w:t xml:space="preserve">（1）总价合同支付分解表的编制与审批： 按通用条款执行。 </w:t>
      </w:r>
    </w:p>
    <w:p>
      <w:pPr>
        <w:pStyle w:val="101"/>
        <w:spacing w:line="460" w:lineRule="exact"/>
        <w:ind w:firstLine="480" w:firstLineChars="200"/>
        <w:rPr>
          <w:rFonts w:ascii="宋体" w:hAnsi="宋体" w:cs="宋体"/>
          <w:sz w:val="24"/>
        </w:rPr>
      </w:pPr>
      <w:r>
        <w:rPr>
          <w:rFonts w:hint="eastAsia" w:ascii="宋体" w:hAnsi="宋体" w:cs="宋体"/>
          <w:sz w:val="24"/>
        </w:rPr>
        <w:t xml:space="preserve">（2）单价合同的总价项目支付分解表的编制与审批：按通用条款执行。  </w:t>
      </w:r>
    </w:p>
    <w:p>
      <w:pPr>
        <w:pStyle w:val="101"/>
        <w:spacing w:line="460" w:lineRule="exact"/>
        <w:ind w:firstLine="480" w:firstLineChars="200"/>
        <w:rPr>
          <w:rFonts w:ascii="宋体" w:hAnsi="宋体" w:cs="宋体"/>
          <w:sz w:val="24"/>
        </w:rPr>
      </w:pPr>
      <w:r>
        <w:rPr>
          <w:rFonts w:hint="eastAsia" w:ascii="宋体" w:hAnsi="宋体" w:cs="宋体"/>
          <w:sz w:val="24"/>
        </w:rPr>
        <w:t xml:space="preserve">13. 验收和工程试车 </w:t>
      </w:r>
    </w:p>
    <w:p>
      <w:pPr>
        <w:pStyle w:val="101"/>
        <w:spacing w:line="460" w:lineRule="exact"/>
        <w:ind w:firstLine="480" w:firstLineChars="200"/>
        <w:rPr>
          <w:rFonts w:ascii="宋体" w:hAnsi="宋体" w:cs="宋体"/>
          <w:sz w:val="24"/>
        </w:rPr>
      </w:pPr>
      <w:r>
        <w:rPr>
          <w:rFonts w:hint="eastAsia" w:ascii="宋体" w:hAnsi="宋体" w:cs="宋体"/>
          <w:sz w:val="24"/>
        </w:rPr>
        <w:t xml:space="preserve">13.1 分部分项工程验收 </w:t>
      </w:r>
    </w:p>
    <w:p>
      <w:pPr>
        <w:pStyle w:val="101"/>
        <w:spacing w:line="460" w:lineRule="exact"/>
        <w:ind w:firstLine="480" w:firstLineChars="200"/>
        <w:rPr>
          <w:rFonts w:ascii="宋体" w:hAnsi="宋体" w:cs="宋体"/>
          <w:sz w:val="24"/>
        </w:rPr>
      </w:pPr>
      <w:r>
        <w:rPr>
          <w:rFonts w:hint="eastAsia" w:ascii="宋体" w:hAnsi="宋体" w:cs="宋体"/>
          <w:sz w:val="24"/>
        </w:rPr>
        <w:t xml:space="preserve">13.1.2监理人不能按时进行验收时，应提前24小时提交书面延期要求。 </w:t>
      </w:r>
    </w:p>
    <w:p>
      <w:pPr>
        <w:pStyle w:val="101"/>
        <w:spacing w:line="460" w:lineRule="exact"/>
        <w:ind w:firstLine="480" w:firstLineChars="200"/>
        <w:rPr>
          <w:rFonts w:ascii="宋体" w:hAnsi="宋体" w:cs="宋体"/>
          <w:sz w:val="24"/>
        </w:rPr>
      </w:pPr>
      <w:r>
        <w:rPr>
          <w:rFonts w:hint="eastAsia" w:ascii="宋体" w:hAnsi="宋体" w:cs="宋体"/>
          <w:sz w:val="24"/>
        </w:rPr>
        <w:t xml:space="preserve">关于延期最长不得超过：48 小时。 </w:t>
      </w:r>
    </w:p>
    <w:p>
      <w:pPr>
        <w:pStyle w:val="101"/>
        <w:spacing w:line="460" w:lineRule="exact"/>
        <w:ind w:firstLine="480" w:firstLineChars="200"/>
        <w:rPr>
          <w:rFonts w:ascii="宋体" w:hAnsi="宋体" w:cs="宋体"/>
          <w:sz w:val="24"/>
        </w:rPr>
      </w:pPr>
      <w:r>
        <w:rPr>
          <w:rFonts w:hint="eastAsia" w:ascii="宋体" w:hAnsi="宋体" w:cs="宋体"/>
          <w:sz w:val="24"/>
        </w:rPr>
        <w:t xml:space="preserve">13.2 竣工验收 </w:t>
      </w:r>
    </w:p>
    <w:p>
      <w:pPr>
        <w:pStyle w:val="101"/>
        <w:spacing w:line="460" w:lineRule="exact"/>
        <w:ind w:firstLine="480" w:firstLineChars="200"/>
        <w:rPr>
          <w:rFonts w:ascii="宋体" w:hAnsi="宋体" w:cs="宋体"/>
          <w:sz w:val="24"/>
        </w:rPr>
      </w:pPr>
      <w:r>
        <w:rPr>
          <w:rFonts w:hint="eastAsia" w:ascii="宋体" w:hAnsi="宋体" w:cs="宋体"/>
          <w:sz w:val="24"/>
        </w:rPr>
        <w:t xml:space="preserve">13.2.2竣工验收程序 </w:t>
      </w:r>
    </w:p>
    <w:p>
      <w:pPr>
        <w:pStyle w:val="101"/>
        <w:spacing w:line="460" w:lineRule="exact"/>
        <w:ind w:firstLine="480" w:firstLineChars="200"/>
        <w:rPr>
          <w:rFonts w:ascii="宋体" w:hAnsi="宋体" w:cs="宋体"/>
          <w:sz w:val="24"/>
          <w:u w:val="single"/>
        </w:rPr>
      </w:pPr>
      <w:r>
        <w:rPr>
          <w:rFonts w:hint="eastAsia" w:ascii="宋体" w:hAnsi="宋体" w:cs="宋体"/>
          <w:sz w:val="24"/>
        </w:rPr>
        <w:t>关于竣工验收程序的约定：</w:t>
      </w:r>
      <w:r>
        <w:rPr>
          <w:rFonts w:hint="eastAsia" w:ascii="宋体" w:hAnsi="宋体" w:cs="宋体"/>
          <w:sz w:val="24"/>
          <w:u w:val="single"/>
        </w:rPr>
        <w:t xml:space="preserve"> ⑴ 在工程完工后40天内承包人将经监理工程师审核的完整竣工资料（含竣工图）和竣工验收报告各一式四份交监理工程师，不按时报送按延误工期赔偿办法处理。⑵ 发包人收到完整的竣工验收资料（含竣工图）和竣工验收报告后28天内组织有关单位进行验收，工程竣工验收严格按国家、省、市、部门有关文件执行，并在验收后28天内给予认可或提出修改意见。承包人按要求修改，并承担由自身原因造成修改的费用。⑶ 发包人收到承包人送交的完整的竣工验收资料（含竣工图）和竣工验收报告后28天内不组织验收，或验收后28天内不提出修改意见，视为竣工验收报告已被认可。 ⑷ 工程竣工验收通过，承包人送交完整的竣工验收资料（含竣工图）和竣工验收报告的日期为实际竣工日期。工程按发包人要求修改后通过竣工验收的，实际竣工日期为承包人修改后提请发包人验收的日期。</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发包人不按照本项约定组织竣工验收、颁发工程接收证书的违约金的计算方法：</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13.2.5移交、接收全部与部分工程承包人向发包人移交工程的期限：</w:t>
      </w:r>
      <w:r>
        <w:rPr>
          <w:rFonts w:hint="eastAsia" w:ascii="宋体" w:hAnsi="宋体" w:cs="宋体"/>
          <w:sz w:val="24"/>
          <w:u w:val="single"/>
        </w:rPr>
        <w:t>竣工验收合格之日起7天内。</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 </w:t>
      </w:r>
    </w:p>
    <w:p>
      <w:pPr>
        <w:pStyle w:val="101"/>
        <w:spacing w:line="460" w:lineRule="exact"/>
        <w:ind w:firstLine="480" w:firstLineChars="200"/>
        <w:rPr>
          <w:rFonts w:ascii="宋体" w:hAnsi="宋体" w:cs="宋体"/>
          <w:sz w:val="24"/>
          <w:u w:val="single"/>
        </w:rPr>
      </w:pPr>
      <w:r>
        <w:rPr>
          <w:rFonts w:hint="eastAsia" w:ascii="宋体" w:hAnsi="宋体" w:cs="宋体"/>
          <w:sz w:val="24"/>
        </w:rPr>
        <w:t>承包人未按时移交工程的，违约金的计算方法为：</w:t>
      </w:r>
      <w:r>
        <w:rPr>
          <w:rFonts w:hint="eastAsia" w:ascii="宋体" w:hAnsi="宋体" w:cs="宋体"/>
          <w:sz w:val="24"/>
          <w:u w:val="single"/>
        </w:rPr>
        <w:t xml:space="preserve">每逾期一天，处以1000元的违约金。 </w:t>
      </w:r>
    </w:p>
    <w:p>
      <w:pPr>
        <w:pStyle w:val="101"/>
        <w:spacing w:line="460" w:lineRule="exact"/>
        <w:ind w:firstLine="480" w:firstLineChars="200"/>
        <w:rPr>
          <w:rFonts w:ascii="宋体" w:hAnsi="宋体" w:cs="宋体"/>
          <w:sz w:val="24"/>
        </w:rPr>
      </w:pPr>
      <w:r>
        <w:rPr>
          <w:rFonts w:hint="eastAsia" w:ascii="宋体" w:hAnsi="宋体" w:cs="宋体"/>
          <w:sz w:val="24"/>
        </w:rPr>
        <w:t xml:space="preserve">13.3 工程试车  </w:t>
      </w:r>
    </w:p>
    <w:p>
      <w:pPr>
        <w:pStyle w:val="101"/>
        <w:spacing w:line="460" w:lineRule="exact"/>
        <w:ind w:firstLine="480" w:firstLineChars="200"/>
        <w:rPr>
          <w:rFonts w:ascii="宋体" w:hAnsi="宋体" w:cs="宋体"/>
          <w:sz w:val="24"/>
        </w:rPr>
      </w:pPr>
      <w:r>
        <w:rPr>
          <w:rFonts w:hint="eastAsia" w:ascii="宋体" w:hAnsi="宋体" w:cs="宋体"/>
          <w:sz w:val="24"/>
        </w:rPr>
        <w:t xml:space="preserve">13.3.1 试车程序 </w:t>
      </w:r>
    </w:p>
    <w:p>
      <w:pPr>
        <w:pStyle w:val="101"/>
        <w:spacing w:line="460" w:lineRule="exact"/>
        <w:ind w:firstLine="480" w:firstLineChars="200"/>
        <w:rPr>
          <w:rFonts w:ascii="宋体" w:hAnsi="宋体" w:cs="宋体"/>
          <w:sz w:val="24"/>
        </w:rPr>
      </w:pPr>
      <w:r>
        <w:rPr>
          <w:rFonts w:hint="eastAsia" w:ascii="宋体" w:hAnsi="宋体" w:cs="宋体"/>
          <w:sz w:val="24"/>
        </w:rPr>
        <w:t>工程试车内容：</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（1）单机无负荷试车费用由承包人承担； </w:t>
      </w:r>
    </w:p>
    <w:p>
      <w:pPr>
        <w:pStyle w:val="101"/>
        <w:spacing w:line="460" w:lineRule="exact"/>
        <w:ind w:firstLine="480" w:firstLineChars="200"/>
        <w:rPr>
          <w:rFonts w:ascii="宋体" w:hAnsi="宋体" w:cs="宋体"/>
          <w:sz w:val="24"/>
        </w:rPr>
      </w:pPr>
      <w:r>
        <w:rPr>
          <w:rFonts w:hint="eastAsia" w:ascii="宋体" w:hAnsi="宋体" w:cs="宋体"/>
          <w:sz w:val="24"/>
        </w:rPr>
        <w:t xml:space="preserve">（2）无负荷联动试车费用由承包人承担。 </w:t>
      </w:r>
    </w:p>
    <w:p>
      <w:pPr>
        <w:pStyle w:val="101"/>
        <w:spacing w:line="460" w:lineRule="exact"/>
        <w:ind w:firstLine="480" w:firstLineChars="200"/>
        <w:rPr>
          <w:rFonts w:ascii="宋体" w:hAnsi="宋体" w:cs="宋体"/>
          <w:sz w:val="24"/>
        </w:rPr>
      </w:pPr>
      <w:r>
        <w:rPr>
          <w:rFonts w:hint="eastAsia" w:ascii="宋体" w:hAnsi="宋体" w:cs="宋体"/>
          <w:sz w:val="24"/>
        </w:rPr>
        <w:t xml:space="preserve">13.3.3 投料试车 </w:t>
      </w:r>
    </w:p>
    <w:p>
      <w:pPr>
        <w:pStyle w:val="101"/>
        <w:spacing w:line="460" w:lineRule="exact"/>
        <w:ind w:firstLine="480" w:firstLineChars="200"/>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13.6 竣工退场 </w:t>
      </w:r>
    </w:p>
    <w:p>
      <w:pPr>
        <w:pStyle w:val="101"/>
        <w:spacing w:line="460" w:lineRule="exact"/>
        <w:ind w:firstLine="480" w:firstLineChars="200"/>
        <w:rPr>
          <w:rFonts w:ascii="宋体" w:hAnsi="宋体" w:cs="宋体"/>
          <w:sz w:val="24"/>
        </w:rPr>
      </w:pPr>
      <w:r>
        <w:rPr>
          <w:rFonts w:hint="eastAsia" w:ascii="宋体" w:hAnsi="宋体" w:cs="宋体"/>
          <w:sz w:val="24"/>
        </w:rPr>
        <w:t xml:space="preserve">13.6.1 竣工退场 </w:t>
      </w:r>
    </w:p>
    <w:p>
      <w:pPr>
        <w:pStyle w:val="101"/>
        <w:spacing w:line="460" w:lineRule="exact"/>
        <w:ind w:firstLine="480" w:firstLineChars="200"/>
        <w:rPr>
          <w:rFonts w:ascii="宋体" w:hAnsi="宋体" w:cs="宋体"/>
          <w:sz w:val="24"/>
        </w:rPr>
      </w:pPr>
      <w:r>
        <w:rPr>
          <w:rFonts w:hint="eastAsia" w:ascii="宋体" w:hAnsi="宋体" w:cs="宋体"/>
          <w:sz w:val="24"/>
        </w:rPr>
        <w:t>承包人完成竣工退场的期限：</w:t>
      </w:r>
      <w:r>
        <w:rPr>
          <w:rFonts w:hint="eastAsia" w:ascii="宋体" w:hAnsi="宋体" w:cs="宋体"/>
          <w:sz w:val="24"/>
          <w:u w:val="single"/>
        </w:rPr>
        <w:t>工程竣工验收合格后七天内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14. 竣工结算 </w:t>
      </w:r>
    </w:p>
    <w:p>
      <w:pPr>
        <w:pStyle w:val="101"/>
        <w:spacing w:line="460" w:lineRule="exact"/>
        <w:ind w:firstLine="480" w:firstLineChars="200"/>
        <w:rPr>
          <w:rFonts w:ascii="宋体" w:hAnsi="宋体" w:cs="宋体"/>
          <w:sz w:val="24"/>
        </w:rPr>
      </w:pPr>
      <w:r>
        <w:rPr>
          <w:rFonts w:hint="eastAsia" w:ascii="宋体" w:hAnsi="宋体" w:cs="宋体"/>
          <w:sz w:val="24"/>
        </w:rPr>
        <w:t xml:space="preserve">14.1 竣工付款申请 </w:t>
      </w:r>
    </w:p>
    <w:p>
      <w:pPr>
        <w:pStyle w:val="101"/>
        <w:spacing w:line="460" w:lineRule="exact"/>
        <w:ind w:firstLine="480" w:firstLineChars="200"/>
        <w:rPr>
          <w:rFonts w:ascii="宋体" w:hAnsi="宋体" w:cs="宋体"/>
          <w:sz w:val="24"/>
        </w:rPr>
      </w:pPr>
      <w:r>
        <w:rPr>
          <w:rFonts w:hint="eastAsia" w:ascii="宋体" w:hAnsi="宋体" w:cs="宋体"/>
          <w:sz w:val="24"/>
        </w:rPr>
        <w:t>承包人提交竣工付款申请单的期限：</w:t>
      </w:r>
      <w:r>
        <w:rPr>
          <w:rFonts w:hint="eastAsia" w:ascii="宋体" w:hAnsi="宋体" w:cs="宋体"/>
          <w:sz w:val="24"/>
          <w:u w:val="single"/>
        </w:rPr>
        <w:t>工程竣工验收报告经发包人认可后40日内，承包人向发包人递交完整的竣工结算资料，承包人每延迟一天承担1000元/天的违约金。</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竣工付款申请单应包括的内容：</w:t>
      </w:r>
      <w:r>
        <w:rPr>
          <w:rFonts w:hint="eastAsia" w:ascii="宋体" w:hAnsi="宋体" w:cs="宋体"/>
          <w:sz w:val="24"/>
          <w:u w:val="single"/>
        </w:rPr>
        <w:t>按审计部门要求提供所有竣工结算资料，若因承包人提供结算资料不全造成的损失由承包人承担。</w:t>
      </w:r>
    </w:p>
    <w:p>
      <w:pPr>
        <w:pStyle w:val="101"/>
        <w:spacing w:line="460" w:lineRule="exact"/>
        <w:ind w:firstLine="480" w:firstLineChars="200"/>
        <w:rPr>
          <w:rFonts w:ascii="宋体" w:hAnsi="宋体" w:cs="宋体"/>
          <w:sz w:val="24"/>
        </w:rPr>
      </w:pPr>
      <w:r>
        <w:rPr>
          <w:rFonts w:hint="eastAsia" w:ascii="宋体" w:hAnsi="宋体" w:cs="宋体"/>
          <w:sz w:val="24"/>
        </w:rPr>
        <w:t xml:space="preserve">14.2 竣工结算审核 </w:t>
      </w:r>
    </w:p>
    <w:p>
      <w:pPr>
        <w:pStyle w:val="101"/>
        <w:spacing w:line="460" w:lineRule="exact"/>
        <w:ind w:firstLine="480" w:firstLineChars="200"/>
        <w:rPr>
          <w:rFonts w:ascii="宋体" w:hAnsi="宋体" w:cs="宋体"/>
          <w:sz w:val="24"/>
          <w:u w:val="single"/>
        </w:rPr>
      </w:pPr>
      <w:r>
        <w:rPr>
          <w:rFonts w:hint="eastAsia" w:ascii="宋体" w:hAnsi="宋体" w:cs="宋体"/>
          <w:sz w:val="24"/>
        </w:rPr>
        <w:t>发包人审批竣工付款申请单的期限：</w:t>
      </w:r>
      <w:r>
        <w:rPr>
          <w:rFonts w:hint="eastAsia" w:ascii="宋体" w:hAnsi="宋体" w:cs="宋体"/>
          <w:sz w:val="24"/>
          <w:u w:val="single"/>
        </w:rPr>
        <w:t>承包人提供结算资料经审核齐全后40天完成结算审核。</w:t>
      </w:r>
    </w:p>
    <w:p>
      <w:pPr>
        <w:pStyle w:val="101"/>
        <w:spacing w:line="460" w:lineRule="exact"/>
        <w:ind w:firstLine="480" w:firstLineChars="200"/>
        <w:rPr>
          <w:rFonts w:ascii="宋体" w:hAnsi="宋体" w:cs="宋体"/>
          <w:sz w:val="24"/>
        </w:rPr>
      </w:pPr>
      <w:r>
        <w:rPr>
          <w:rFonts w:hint="eastAsia" w:ascii="宋体" w:hAnsi="宋体" w:cs="宋体"/>
          <w:sz w:val="24"/>
        </w:rPr>
        <w:t>发包人完成竣工付款的期限：</w:t>
      </w:r>
      <w:r>
        <w:rPr>
          <w:rFonts w:hint="eastAsia" w:ascii="宋体" w:hAnsi="宋体" w:cs="宋体"/>
          <w:sz w:val="24"/>
          <w:u w:val="single"/>
        </w:rPr>
        <w:t>按合同付款约定执行。</w:t>
      </w:r>
    </w:p>
    <w:p>
      <w:pPr>
        <w:pStyle w:val="101"/>
        <w:spacing w:line="460" w:lineRule="exact"/>
        <w:ind w:firstLine="480" w:firstLineChars="200"/>
        <w:rPr>
          <w:rFonts w:ascii="宋体" w:hAnsi="宋体" w:cs="宋体"/>
          <w:sz w:val="24"/>
        </w:rPr>
      </w:pPr>
      <w:r>
        <w:rPr>
          <w:rFonts w:hint="eastAsia" w:ascii="宋体" w:hAnsi="宋体" w:cs="宋体"/>
          <w:sz w:val="24"/>
        </w:rPr>
        <w:t>关于竣工付款证书异议部分复核的方式和程序：</w:t>
      </w:r>
      <w:r>
        <w:rPr>
          <w:rFonts w:hint="eastAsia" w:ascii="宋体" w:hAnsi="宋体" w:cs="宋体"/>
          <w:sz w:val="24"/>
          <w:u w:val="single"/>
        </w:rPr>
        <w:t>按通用条款执行。</w:t>
      </w:r>
    </w:p>
    <w:p>
      <w:pPr>
        <w:pStyle w:val="101"/>
        <w:spacing w:line="460" w:lineRule="exact"/>
        <w:ind w:firstLine="480" w:firstLineChars="200"/>
        <w:rPr>
          <w:rFonts w:ascii="宋体" w:hAnsi="宋体" w:cs="宋体"/>
          <w:sz w:val="24"/>
        </w:rPr>
      </w:pPr>
      <w:r>
        <w:rPr>
          <w:rFonts w:hint="eastAsia" w:ascii="宋体" w:hAnsi="宋体" w:cs="宋体"/>
          <w:sz w:val="24"/>
        </w:rPr>
        <w:t xml:space="preserve">14.4 最终结清 </w:t>
      </w:r>
    </w:p>
    <w:p>
      <w:pPr>
        <w:pStyle w:val="101"/>
        <w:spacing w:line="460" w:lineRule="exact"/>
        <w:ind w:firstLine="480" w:firstLineChars="200"/>
        <w:rPr>
          <w:rFonts w:ascii="宋体" w:hAnsi="宋体" w:cs="宋体"/>
          <w:sz w:val="24"/>
        </w:rPr>
      </w:pPr>
      <w:r>
        <w:rPr>
          <w:rFonts w:hint="eastAsia" w:ascii="宋体" w:hAnsi="宋体" w:cs="宋体"/>
          <w:sz w:val="24"/>
        </w:rPr>
        <w:t xml:space="preserve">14.4.1 最终结清申请单 </w:t>
      </w:r>
    </w:p>
    <w:p>
      <w:pPr>
        <w:pStyle w:val="101"/>
        <w:spacing w:line="460" w:lineRule="exact"/>
        <w:ind w:firstLine="480" w:firstLineChars="200"/>
        <w:rPr>
          <w:rFonts w:ascii="宋体" w:hAnsi="宋体" w:cs="宋体"/>
          <w:sz w:val="24"/>
        </w:rPr>
      </w:pPr>
      <w:r>
        <w:rPr>
          <w:rFonts w:hint="eastAsia" w:ascii="宋体" w:hAnsi="宋体" w:cs="宋体"/>
          <w:sz w:val="24"/>
        </w:rPr>
        <w:t>承包人提交最终结清申请单的份数：</w:t>
      </w:r>
      <w:r>
        <w:rPr>
          <w:rFonts w:hint="eastAsia" w:ascii="宋体" w:hAnsi="宋体" w:cs="宋体"/>
          <w:sz w:val="24"/>
          <w:u w:val="single"/>
        </w:rPr>
        <w:t>四份书面材料及电子材料。</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承包人提交最终结算申请单的期限：</w:t>
      </w:r>
      <w:r>
        <w:rPr>
          <w:rFonts w:hint="eastAsia" w:ascii="宋体" w:hAnsi="宋体" w:cs="宋体"/>
          <w:sz w:val="24"/>
          <w:u w:val="single"/>
        </w:rPr>
        <w:t>质保期满且竣工结算经审计部门审定之后。</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14.4.2 最终结清证书和支付  </w:t>
      </w:r>
    </w:p>
    <w:p>
      <w:pPr>
        <w:pStyle w:val="101"/>
        <w:spacing w:line="460" w:lineRule="exact"/>
        <w:ind w:firstLine="480" w:firstLineChars="200"/>
        <w:rPr>
          <w:rFonts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按合同付款约定执行。</w:t>
      </w:r>
    </w:p>
    <w:p>
      <w:pPr>
        <w:pStyle w:val="101"/>
        <w:spacing w:line="460" w:lineRule="exact"/>
        <w:ind w:firstLine="480" w:firstLineChars="200"/>
        <w:rPr>
          <w:rFonts w:ascii="宋体" w:hAnsi="宋体" w:cs="宋体"/>
          <w:sz w:val="24"/>
        </w:rPr>
      </w:pPr>
      <w:r>
        <w:rPr>
          <w:rFonts w:hint="eastAsia" w:ascii="宋体" w:hAnsi="宋体" w:cs="宋体"/>
          <w:sz w:val="24"/>
        </w:rPr>
        <w:t>（2）发包人完成支付的期限：</w:t>
      </w:r>
      <w:r>
        <w:rPr>
          <w:rFonts w:hint="eastAsia" w:ascii="宋体" w:hAnsi="宋体" w:cs="宋体"/>
          <w:sz w:val="24"/>
          <w:u w:val="single"/>
        </w:rPr>
        <w:t>按合同付款约定执行。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15. 缺陷责任期与保修 </w:t>
      </w:r>
    </w:p>
    <w:p>
      <w:pPr>
        <w:pStyle w:val="101"/>
        <w:spacing w:line="460" w:lineRule="exact"/>
        <w:ind w:firstLine="480" w:firstLineChars="200"/>
        <w:rPr>
          <w:rFonts w:ascii="宋体" w:hAnsi="宋体" w:cs="宋体"/>
          <w:sz w:val="24"/>
        </w:rPr>
      </w:pPr>
      <w:r>
        <w:rPr>
          <w:rFonts w:hint="eastAsia" w:ascii="宋体" w:hAnsi="宋体" w:cs="宋体"/>
          <w:sz w:val="24"/>
        </w:rPr>
        <w:t xml:space="preserve">15.2缺陷责任期 </w:t>
      </w:r>
    </w:p>
    <w:p>
      <w:pPr>
        <w:pStyle w:val="101"/>
        <w:spacing w:line="460" w:lineRule="exact"/>
        <w:ind w:firstLine="480" w:firstLineChars="200"/>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rPr>
        <w:t>工程竣工验收合格后 24个月。</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15.3 质量保证金 </w:t>
      </w:r>
    </w:p>
    <w:p>
      <w:pPr>
        <w:pStyle w:val="101"/>
        <w:spacing w:line="460" w:lineRule="exact"/>
        <w:ind w:firstLine="480" w:firstLineChars="200"/>
        <w:rPr>
          <w:rFonts w:ascii="宋体" w:hAnsi="宋体" w:cs="宋体"/>
          <w:sz w:val="24"/>
        </w:rPr>
      </w:pPr>
      <w:r>
        <w:rPr>
          <w:rFonts w:hint="eastAsia" w:ascii="宋体" w:hAnsi="宋体" w:cs="宋体"/>
          <w:sz w:val="24"/>
        </w:rPr>
        <w:t>关于是否扣留质量保证金的约定：</w:t>
      </w:r>
      <w:r>
        <w:rPr>
          <w:rFonts w:hint="eastAsia" w:ascii="宋体" w:hAnsi="宋体" w:cs="宋体"/>
          <w:sz w:val="24"/>
          <w:u w:val="single"/>
        </w:rPr>
        <w:t xml:space="preserve">  扣留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15.3.1 承包人提供质量保证金的方式 </w:t>
      </w:r>
    </w:p>
    <w:p>
      <w:pPr>
        <w:pStyle w:val="101"/>
        <w:spacing w:line="460" w:lineRule="exact"/>
        <w:ind w:firstLine="480" w:firstLineChars="200"/>
        <w:rPr>
          <w:rFonts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3  </w:t>
      </w:r>
      <w:r>
        <w:rPr>
          <w:rFonts w:hint="eastAsia" w:ascii="宋体" w:hAnsi="宋体" w:cs="宋体"/>
          <w:sz w:val="24"/>
        </w:rPr>
        <w:t xml:space="preserve">种方式： </w:t>
      </w:r>
    </w:p>
    <w:p>
      <w:pPr>
        <w:pStyle w:val="101"/>
        <w:spacing w:line="460" w:lineRule="exact"/>
        <w:ind w:firstLine="480" w:firstLineChars="200"/>
        <w:rPr>
          <w:rFonts w:ascii="宋体" w:hAnsi="宋体" w:cs="宋体"/>
          <w:sz w:val="24"/>
        </w:rPr>
      </w:pPr>
      <w:r>
        <w:rPr>
          <w:rFonts w:hint="eastAsia" w:ascii="宋体" w:hAnsi="宋体" w:cs="宋体"/>
          <w:sz w:val="24"/>
        </w:rPr>
        <w:t>（1）质量保证金保函，保证金额为：</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（2）</w:t>
      </w:r>
      <w:r>
        <w:rPr>
          <w:rFonts w:hint="eastAsia" w:ascii="宋体" w:hAnsi="宋体" w:cs="宋体"/>
          <w:sz w:val="24"/>
          <w:u w:val="single"/>
        </w:rPr>
        <w:t xml:space="preserve">  /   </w:t>
      </w:r>
      <w:r>
        <w:rPr>
          <w:rFonts w:hint="eastAsia" w:ascii="宋体" w:hAnsi="宋体" w:cs="宋体"/>
          <w:sz w:val="24"/>
        </w:rPr>
        <w:t xml:space="preserve">%的工程款； </w:t>
      </w:r>
    </w:p>
    <w:p>
      <w:pPr>
        <w:pStyle w:val="101"/>
        <w:spacing w:line="460" w:lineRule="exact"/>
        <w:ind w:firstLine="480" w:firstLineChars="200"/>
        <w:rPr>
          <w:rFonts w:ascii="宋体" w:hAnsi="宋体" w:cs="宋体"/>
          <w:sz w:val="24"/>
        </w:rPr>
      </w:pPr>
      <w:r>
        <w:rPr>
          <w:rFonts w:hint="eastAsia" w:ascii="宋体" w:hAnsi="宋体" w:cs="宋体"/>
          <w:sz w:val="24"/>
        </w:rPr>
        <w:t>（3）其他方式 :</w:t>
      </w:r>
      <w:r>
        <w:rPr>
          <w:rFonts w:hint="eastAsia" w:ascii="宋体" w:hAnsi="宋体" w:cs="宋体"/>
          <w:sz w:val="24"/>
          <w:u w:val="single"/>
        </w:rPr>
        <w:t>审计部门审定的工程结算价款总额的3%。</w:t>
      </w:r>
    </w:p>
    <w:p>
      <w:pPr>
        <w:pStyle w:val="101"/>
        <w:spacing w:line="460" w:lineRule="exact"/>
        <w:ind w:firstLine="480" w:firstLineChars="200"/>
        <w:rPr>
          <w:rFonts w:ascii="宋体" w:hAnsi="宋体" w:cs="宋体"/>
          <w:sz w:val="24"/>
        </w:rPr>
      </w:pPr>
      <w:r>
        <w:rPr>
          <w:rFonts w:hint="eastAsia" w:ascii="宋体" w:hAnsi="宋体" w:cs="宋体"/>
          <w:sz w:val="24"/>
        </w:rPr>
        <w:t xml:space="preserve">15.3.2 质量保证金的扣留   </w:t>
      </w:r>
    </w:p>
    <w:p>
      <w:pPr>
        <w:pStyle w:val="101"/>
        <w:spacing w:line="460" w:lineRule="exact"/>
        <w:ind w:firstLine="480" w:firstLineChars="200"/>
        <w:rPr>
          <w:rFonts w:ascii="宋体" w:hAnsi="宋体" w:cs="宋体"/>
          <w:sz w:val="24"/>
        </w:rPr>
      </w:pPr>
      <w:r>
        <w:rPr>
          <w:rFonts w:hint="eastAsia" w:ascii="宋体" w:hAnsi="宋体" w:cs="宋体"/>
          <w:sz w:val="24"/>
        </w:rPr>
        <w:t>质量保证金的扣留采取以下第（2）种方式：</w:t>
      </w:r>
    </w:p>
    <w:p>
      <w:pPr>
        <w:pStyle w:val="101"/>
        <w:spacing w:line="460" w:lineRule="exact"/>
        <w:ind w:firstLine="480" w:firstLineChars="200"/>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pPr>
        <w:pStyle w:val="101"/>
        <w:spacing w:line="460" w:lineRule="exact"/>
        <w:ind w:firstLine="480" w:firstLineChars="200"/>
        <w:rPr>
          <w:rFonts w:ascii="宋体" w:hAnsi="宋体" w:cs="宋体"/>
          <w:sz w:val="24"/>
        </w:rPr>
      </w:pPr>
      <w:r>
        <w:rPr>
          <w:rFonts w:hint="eastAsia" w:ascii="宋体" w:hAnsi="宋体" w:cs="宋体"/>
          <w:sz w:val="24"/>
        </w:rPr>
        <w:t>（2）工程竣工结算时一次性扣留质量保证金；</w:t>
      </w:r>
    </w:p>
    <w:p>
      <w:pPr>
        <w:pStyle w:val="101"/>
        <w:spacing w:line="460" w:lineRule="exact"/>
        <w:ind w:firstLine="480" w:firstLineChars="200"/>
        <w:rPr>
          <w:rFonts w:ascii="宋体" w:hAnsi="宋体" w:cs="宋体"/>
          <w:sz w:val="24"/>
        </w:rPr>
      </w:pPr>
      <w:r>
        <w:rPr>
          <w:rFonts w:hint="eastAsia" w:ascii="宋体" w:hAnsi="宋体" w:cs="宋体"/>
          <w:sz w:val="24"/>
        </w:rPr>
        <w:t>（3）其他扣留方式:</w:t>
      </w:r>
      <w:r>
        <w:rPr>
          <w:rFonts w:hint="eastAsia" w:ascii="宋体" w:hAnsi="宋体" w:cs="宋体"/>
          <w:sz w:val="24"/>
          <w:u w:val="single"/>
        </w:rPr>
        <w:t xml:space="preserve"> /</w:t>
      </w:r>
      <w:r>
        <w:rPr>
          <w:rFonts w:hint="eastAsia" w:ascii="宋体" w:hAnsi="宋体" w:cs="宋体"/>
          <w:sz w:val="24"/>
        </w:rPr>
        <w:t xml:space="preserve">。 </w:t>
      </w:r>
    </w:p>
    <w:p>
      <w:pPr>
        <w:pStyle w:val="101"/>
        <w:spacing w:line="460" w:lineRule="exact"/>
        <w:ind w:firstLine="480" w:firstLineChars="200"/>
        <w:rPr>
          <w:rFonts w:ascii="宋体" w:hAnsi="宋体" w:cs="宋体"/>
          <w:sz w:val="24"/>
          <w:u w:val="single"/>
        </w:rPr>
      </w:pPr>
      <w:r>
        <w:rPr>
          <w:rFonts w:hint="eastAsia" w:ascii="宋体" w:hAnsi="宋体" w:cs="宋体"/>
          <w:sz w:val="24"/>
        </w:rPr>
        <w:t>关于质量保证金的补充约定：</w:t>
      </w:r>
      <w:r>
        <w:rPr>
          <w:rFonts w:hint="eastAsia" w:ascii="宋体" w:hAnsi="宋体" w:cs="宋体"/>
          <w:sz w:val="24"/>
          <w:u w:val="single"/>
        </w:rPr>
        <w:t>（1）发包人在质量缺陷责任期满且审计结束后 14 天内向承包人退还质保金（无息）。</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2）发包人在接到承包人返还保证金申请后，应于14天内会同承包人按照合同约定的内容进行核实。如无异议，发包人应当在核实后14天内将保证金返还承包人。逾期未返还的，按照中国人民银行发布的同期同类贷款基准利率支付违约金；逾期支付超过56天的，按照中国人民银行发布的同期同类贷款基准利率的两倍支付违约金。</w:t>
      </w:r>
    </w:p>
    <w:p>
      <w:pPr>
        <w:pStyle w:val="101"/>
        <w:spacing w:line="460" w:lineRule="exact"/>
        <w:ind w:firstLine="480" w:firstLineChars="200"/>
        <w:rPr>
          <w:rFonts w:ascii="宋体" w:hAnsi="宋体" w:cs="宋体"/>
          <w:sz w:val="24"/>
        </w:rPr>
      </w:pPr>
      <w:r>
        <w:rPr>
          <w:rFonts w:hint="eastAsia" w:ascii="宋体" w:hAnsi="宋体" w:cs="宋体"/>
          <w:sz w:val="24"/>
          <w:u w:val="single"/>
        </w:rPr>
        <w:t>（3）发包人在接到承包人返还保证金申请后14天内不予答复，经催告后14天内仍不予答复，视同认可承包人的返还保证金申请。</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15.4保修 </w:t>
      </w:r>
    </w:p>
    <w:p>
      <w:pPr>
        <w:pStyle w:val="101"/>
        <w:spacing w:line="460" w:lineRule="exact"/>
        <w:ind w:firstLine="480" w:firstLineChars="200"/>
        <w:rPr>
          <w:rFonts w:ascii="宋体" w:hAnsi="宋体" w:cs="宋体"/>
          <w:sz w:val="24"/>
        </w:rPr>
      </w:pPr>
      <w:r>
        <w:rPr>
          <w:rFonts w:hint="eastAsia" w:ascii="宋体" w:hAnsi="宋体" w:cs="宋体"/>
          <w:sz w:val="24"/>
        </w:rPr>
        <w:t xml:space="preserve">15.4.1 保修责任 </w:t>
      </w:r>
    </w:p>
    <w:p>
      <w:pPr>
        <w:pStyle w:val="101"/>
        <w:spacing w:line="460" w:lineRule="exact"/>
        <w:ind w:firstLine="480" w:firstLineChars="200"/>
        <w:rPr>
          <w:rFonts w:ascii="宋体" w:hAnsi="宋体" w:cs="宋体"/>
          <w:sz w:val="24"/>
        </w:rPr>
      </w:pPr>
      <w:r>
        <w:rPr>
          <w:rFonts w:hint="eastAsia" w:ascii="宋体" w:hAnsi="宋体" w:cs="宋体"/>
          <w:sz w:val="24"/>
        </w:rPr>
        <w:t>工程保修期为：</w:t>
      </w:r>
      <w:r>
        <w:rPr>
          <w:rFonts w:hint="eastAsia" w:ascii="宋体" w:hAnsi="宋体" w:cs="宋体"/>
          <w:sz w:val="24"/>
          <w:u w:val="single"/>
        </w:rPr>
        <w:t xml:space="preserve">见工程质量保修书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15.4.3 修复通知  </w:t>
      </w:r>
    </w:p>
    <w:p>
      <w:pPr>
        <w:pStyle w:val="101"/>
        <w:spacing w:line="460" w:lineRule="exact"/>
        <w:ind w:firstLine="480" w:firstLineChars="200"/>
        <w:rPr>
          <w:rFonts w:ascii="宋体" w:hAnsi="宋体" w:cs="宋体"/>
          <w:sz w:val="24"/>
        </w:rPr>
      </w:pPr>
      <w:r>
        <w:rPr>
          <w:rFonts w:hint="eastAsia" w:ascii="宋体" w:hAnsi="宋体" w:cs="宋体"/>
          <w:sz w:val="24"/>
        </w:rPr>
        <w:t>承包人收到保修通知并到达工程现场的合理时间：</w:t>
      </w:r>
      <w:r>
        <w:rPr>
          <w:rFonts w:hint="eastAsia" w:ascii="宋体" w:hAnsi="宋体" w:cs="宋体"/>
          <w:sz w:val="24"/>
          <w:u w:val="single"/>
        </w:rPr>
        <w:t>24小时内</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16. 违约 </w:t>
      </w:r>
    </w:p>
    <w:p>
      <w:pPr>
        <w:pStyle w:val="101"/>
        <w:spacing w:line="460" w:lineRule="exact"/>
        <w:ind w:firstLine="480" w:firstLineChars="200"/>
        <w:outlineLvl w:val="0"/>
        <w:rPr>
          <w:rFonts w:ascii="宋体" w:hAnsi="宋体" w:cs="宋体"/>
          <w:sz w:val="24"/>
        </w:rPr>
      </w:pPr>
      <w:bookmarkStart w:id="418" w:name="_Toc20454"/>
      <w:bookmarkStart w:id="419" w:name="_Toc8834"/>
      <w:bookmarkStart w:id="420" w:name="_Toc4162"/>
      <w:bookmarkStart w:id="421" w:name="_Toc757"/>
      <w:bookmarkStart w:id="422" w:name="_Toc12950"/>
      <w:bookmarkStart w:id="423" w:name="_Toc23566"/>
      <w:bookmarkStart w:id="424" w:name="_Toc3322"/>
      <w:bookmarkStart w:id="425" w:name="_Toc10375"/>
      <w:r>
        <w:rPr>
          <w:rFonts w:hint="eastAsia" w:ascii="宋体" w:hAnsi="宋体" w:cs="宋体"/>
          <w:sz w:val="24"/>
        </w:rPr>
        <w:t>16.1 发包人违约</w:t>
      </w:r>
      <w:bookmarkEnd w:id="418"/>
      <w:bookmarkEnd w:id="419"/>
      <w:bookmarkEnd w:id="420"/>
      <w:bookmarkEnd w:id="421"/>
      <w:bookmarkEnd w:id="422"/>
      <w:bookmarkEnd w:id="423"/>
      <w:bookmarkEnd w:id="424"/>
      <w:bookmarkEnd w:id="425"/>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16.1.1发包人违约的情形 </w:t>
      </w:r>
    </w:p>
    <w:p>
      <w:pPr>
        <w:pStyle w:val="101"/>
        <w:spacing w:line="460" w:lineRule="exact"/>
        <w:ind w:firstLine="480" w:firstLineChars="200"/>
        <w:rPr>
          <w:rFonts w:ascii="宋体" w:hAnsi="宋体" w:cs="宋体"/>
          <w:sz w:val="24"/>
        </w:rPr>
      </w:pPr>
      <w:r>
        <w:rPr>
          <w:rFonts w:hint="eastAsia" w:ascii="宋体" w:hAnsi="宋体" w:cs="宋体"/>
          <w:sz w:val="24"/>
        </w:rPr>
        <w:t>发包人违约的其他情形：</w:t>
      </w:r>
      <w:r>
        <w:rPr>
          <w:rFonts w:hint="eastAsia" w:ascii="宋体" w:hAnsi="宋体" w:cs="宋体"/>
          <w:sz w:val="24"/>
          <w:u w:val="single"/>
        </w:rPr>
        <w:t>发包人不履行合同义务或不按合同约定履行义务时，承担违约责任，造成承包人工期延误的，经发包人同意后顺延延误的工期。</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r>
        <w:rPr>
          <w:rFonts w:hint="eastAsia" w:ascii="宋体" w:hAnsi="宋体" w:cs="宋体"/>
          <w:sz w:val="24"/>
        </w:rPr>
        <w:t xml:space="preserve"> </w:t>
      </w:r>
      <w:bookmarkStart w:id="426" w:name="_Toc32019"/>
      <w:bookmarkStart w:id="427" w:name="_Toc29047"/>
      <w:bookmarkStart w:id="428" w:name="_Toc19239"/>
      <w:bookmarkStart w:id="429" w:name="_Toc22537"/>
      <w:bookmarkStart w:id="430" w:name="_Toc14033"/>
      <w:bookmarkStart w:id="431" w:name="_Toc18364"/>
      <w:bookmarkStart w:id="432" w:name="_Toc18927"/>
      <w:bookmarkStart w:id="433" w:name="_Toc19068"/>
      <w:r>
        <w:rPr>
          <w:rFonts w:hint="eastAsia" w:ascii="宋体" w:hAnsi="宋体" w:cs="宋体"/>
          <w:sz w:val="24"/>
        </w:rPr>
        <w:t>16.1.2 发包人违约的责任</w:t>
      </w:r>
      <w:bookmarkEnd w:id="426"/>
      <w:bookmarkEnd w:id="427"/>
      <w:bookmarkEnd w:id="428"/>
      <w:bookmarkEnd w:id="429"/>
      <w:bookmarkEnd w:id="430"/>
      <w:bookmarkEnd w:id="431"/>
      <w:bookmarkEnd w:id="432"/>
      <w:bookmarkEnd w:id="433"/>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发包人违约责任的承担方式和计算方法：</w:t>
      </w:r>
    </w:p>
    <w:p>
      <w:pPr>
        <w:pStyle w:val="101"/>
        <w:spacing w:line="460" w:lineRule="exact"/>
        <w:ind w:firstLine="480" w:firstLineChars="200"/>
        <w:rPr>
          <w:rFonts w:ascii="宋体" w:hAnsi="宋体" w:cs="宋体"/>
          <w:sz w:val="24"/>
        </w:rPr>
      </w:pPr>
      <w:r>
        <w:rPr>
          <w:rFonts w:hint="eastAsia" w:ascii="宋体" w:hAnsi="宋体" w:cs="宋体"/>
          <w:sz w:val="24"/>
        </w:rPr>
        <w:t>（1）因发包人原因未能在计划开工日期前 7天内下达开工通知的违约责任：</w:t>
      </w:r>
      <w:r>
        <w:rPr>
          <w:rFonts w:hint="eastAsia" w:ascii="宋体" w:hAnsi="宋体" w:cs="宋体"/>
          <w:sz w:val="24"/>
          <w:u w:val="single"/>
        </w:rPr>
        <w:t>工期顺延。</w:t>
      </w:r>
    </w:p>
    <w:p>
      <w:pPr>
        <w:pStyle w:val="101"/>
        <w:spacing w:line="460" w:lineRule="exact"/>
        <w:ind w:firstLine="480" w:firstLineChars="200"/>
        <w:outlineLvl w:val="0"/>
        <w:rPr>
          <w:rFonts w:ascii="宋体" w:hAnsi="宋体" w:cs="宋体"/>
          <w:sz w:val="24"/>
        </w:rPr>
      </w:pPr>
      <w:bookmarkStart w:id="434" w:name="_Toc2015"/>
      <w:bookmarkStart w:id="435" w:name="_Toc7393"/>
      <w:bookmarkStart w:id="436" w:name="_Toc20776"/>
      <w:bookmarkStart w:id="437" w:name="_Toc26810"/>
      <w:bookmarkStart w:id="438" w:name="_Toc32121"/>
      <w:bookmarkStart w:id="439" w:name="_Toc8072"/>
      <w:bookmarkStart w:id="440" w:name="_Toc19194"/>
      <w:bookmarkStart w:id="441" w:name="_Toc10257"/>
      <w:r>
        <w:rPr>
          <w:rFonts w:hint="eastAsia" w:ascii="宋体" w:hAnsi="宋体" w:cs="宋体"/>
          <w:sz w:val="24"/>
        </w:rPr>
        <w:t>（2）因发包人原因未能按合同约定支付合同价款的违约责任：</w:t>
      </w:r>
      <w:r>
        <w:rPr>
          <w:rFonts w:hint="eastAsia" w:ascii="宋体" w:hAnsi="宋体" w:cs="宋体"/>
          <w:sz w:val="24"/>
          <w:u w:val="single"/>
        </w:rPr>
        <w:t>/</w:t>
      </w:r>
      <w:bookmarkEnd w:id="434"/>
      <w:bookmarkEnd w:id="435"/>
      <w:bookmarkEnd w:id="436"/>
      <w:bookmarkEnd w:id="437"/>
      <w:bookmarkEnd w:id="438"/>
      <w:bookmarkEnd w:id="439"/>
      <w:bookmarkEnd w:id="440"/>
      <w:bookmarkEnd w:id="441"/>
    </w:p>
    <w:p>
      <w:pPr>
        <w:pStyle w:val="101"/>
        <w:spacing w:line="460" w:lineRule="exact"/>
        <w:ind w:firstLine="480" w:firstLineChars="200"/>
        <w:rPr>
          <w:rFonts w:ascii="宋体" w:hAnsi="宋体" w:cs="宋体"/>
          <w:sz w:val="24"/>
        </w:rPr>
      </w:pPr>
      <w:r>
        <w:rPr>
          <w:rFonts w:hint="eastAsia" w:ascii="宋体" w:hAnsi="宋体" w:cs="宋体"/>
          <w:sz w:val="24"/>
        </w:rPr>
        <w:t>（3）发包人违反第 10.1款〔变更的范围〕第（2）项约定，自行实施</w:t>
      </w:r>
    </w:p>
    <w:p>
      <w:pPr>
        <w:pStyle w:val="101"/>
        <w:spacing w:line="460" w:lineRule="exact"/>
        <w:ind w:firstLine="480" w:firstLineChars="200"/>
        <w:rPr>
          <w:rFonts w:ascii="宋体" w:hAnsi="宋体" w:cs="宋体"/>
          <w:sz w:val="24"/>
        </w:rPr>
      </w:pPr>
      <w:r>
        <w:rPr>
          <w:rFonts w:hint="eastAsia" w:ascii="宋体" w:hAnsi="宋体" w:cs="宋体"/>
          <w:sz w:val="24"/>
        </w:rPr>
        <w:t>被取消的工作或转由他人实施的违约责任：</w:t>
      </w:r>
      <w:r>
        <w:rPr>
          <w:rFonts w:hint="eastAsia" w:ascii="宋体" w:hAnsi="宋体" w:cs="宋体"/>
          <w:sz w:val="24"/>
          <w:u w:val="single"/>
        </w:rPr>
        <w:t>无</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（4）发包人提供的材料、工程设备的规格、数量或质量不符合合同约定，或因发包人原因导致交货日期延误或交货地点变更等情况的违约责任：</w:t>
      </w:r>
      <w:r>
        <w:rPr>
          <w:rFonts w:hint="eastAsia" w:ascii="宋体" w:hAnsi="宋体" w:cs="宋体"/>
          <w:sz w:val="24"/>
          <w:u w:val="single"/>
        </w:rPr>
        <w:t>无</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（5）因发包人违反合同约定造成暂停施工的违约责任：</w:t>
      </w:r>
      <w:r>
        <w:rPr>
          <w:rFonts w:hint="eastAsia" w:ascii="宋体" w:hAnsi="宋体" w:cs="宋体"/>
          <w:sz w:val="24"/>
          <w:u w:val="single"/>
        </w:rPr>
        <w:t xml:space="preserve">工期顺延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（6）发包人无正当理由没有在约定期限内发出复工指示，导致承包人无法复工的违约责任：</w:t>
      </w:r>
      <w:r>
        <w:rPr>
          <w:rFonts w:hint="eastAsia" w:ascii="宋体" w:hAnsi="宋体" w:cs="宋体"/>
          <w:sz w:val="24"/>
          <w:u w:val="single"/>
        </w:rPr>
        <w:t xml:space="preserve">无 </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442" w:name="_Toc29917"/>
      <w:bookmarkStart w:id="443" w:name="_Toc21679"/>
      <w:bookmarkStart w:id="444" w:name="_Toc22814"/>
      <w:bookmarkStart w:id="445" w:name="_Toc25629"/>
      <w:bookmarkStart w:id="446" w:name="_Toc3713"/>
      <w:bookmarkStart w:id="447" w:name="_Toc11331"/>
      <w:bookmarkStart w:id="448" w:name="_Toc21398"/>
      <w:bookmarkStart w:id="449" w:name="_Toc4812"/>
      <w:r>
        <w:rPr>
          <w:rFonts w:hint="eastAsia" w:ascii="宋体" w:hAnsi="宋体" w:cs="宋体"/>
          <w:sz w:val="24"/>
        </w:rPr>
        <w:t>（7）其他：</w:t>
      </w:r>
      <w:r>
        <w:rPr>
          <w:rFonts w:hint="eastAsia" w:ascii="宋体" w:hAnsi="宋体" w:cs="宋体"/>
          <w:sz w:val="24"/>
          <w:u w:val="single"/>
        </w:rPr>
        <w:t>无</w:t>
      </w:r>
      <w:bookmarkEnd w:id="442"/>
      <w:bookmarkEnd w:id="443"/>
      <w:bookmarkEnd w:id="444"/>
      <w:bookmarkEnd w:id="445"/>
      <w:bookmarkEnd w:id="446"/>
      <w:bookmarkEnd w:id="447"/>
      <w:bookmarkEnd w:id="448"/>
      <w:bookmarkEnd w:id="449"/>
      <w:r>
        <w:rPr>
          <w:rFonts w:hint="eastAsia" w:ascii="宋体" w:hAnsi="宋体" w:cs="宋体"/>
          <w:sz w:val="24"/>
          <w:u w:val="single"/>
        </w:rPr>
        <w:t xml:space="preserve">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16.1.3 因发包人违约解除合同 </w:t>
      </w:r>
    </w:p>
    <w:p>
      <w:pPr>
        <w:pStyle w:val="101"/>
        <w:spacing w:line="460" w:lineRule="exact"/>
        <w:ind w:firstLine="480" w:firstLineChars="200"/>
        <w:rPr>
          <w:rFonts w:ascii="宋体" w:hAnsi="宋体" w:cs="宋体"/>
          <w:sz w:val="24"/>
        </w:rPr>
      </w:pPr>
      <w:r>
        <w:rPr>
          <w:rFonts w:hint="eastAsia" w:ascii="宋体" w:hAnsi="宋体" w:cs="宋体"/>
          <w:sz w:val="24"/>
        </w:rPr>
        <w:t xml:space="preserve">承包人按16.1.1项〔发包人违约的情形〕约定暂停施工满180天后发包人仍不纠正其违约行为并致使合同目的不能实现的，承包人有权解除合同。 </w:t>
      </w:r>
    </w:p>
    <w:p>
      <w:pPr>
        <w:pStyle w:val="101"/>
        <w:spacing w:line="460" w:lineRule="exact"/>
        <w:ind w:firstLine="480" w:firstLineChars="200"/>
        <w:outlineLvl w:val="0"/>
        <w:rPr>
          <w:rFonts w:ascii="宋体" w:hAnsi="宋体" w:cs="宋体"/>
          <w:sz w:val="24"/>
        </w:rPr>
      </w:pPr>
      <w:bookmarkStart w:id="450" w:name="_Toc4561"/>
      <w:bookmarkStart w:id="451" w:name="_Toc17896"/>
      <w:bookmarkStart w:id="452" w:name="_Toc12396"/>
      <w:bookmarkStart w:id="453" w:name="_Toc10332"/>
      <w:bookmarkStart w:id="454" w:name="_Toc17227"/>
      <w:bookmarkStart w:id="455" w:name="_Toc377"/>
      <w:bookmarkStart w:id="456" w:name="_Toc7894"/>
      <w:bookmarkStart w:id="457" w:name="_Toc11255"/>
      <w:r>
        <w:rPr>
          <w:rFonts w:hint="eastAsia" w:ascii="宋体" w:hAnsi="宋体" w:cs="宋体"/>
          <w:sz w:val="24"/>
        </w:rPr>
        <w:t>16.2 承包人违约</w:t>
      </w:r>
      <w:bookmarkEnd w:id="450"/>
      <w:bookmarkEnd w:id="451"/>
      <w:bookmarkEnd w:id="452"/>
      <w:bookmarkEnd w:id="453"/>
      <w:bookmarkEnd w:id="454"/>
      <w:bookmarkEnd w:id="455"/>
      <w:bookmarkEnd w:id="456"/>
      <w:bookmarkEnd w:id="457"/>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16.2.1 承包人违约的情形 </w:t>
      </w:r>
    </w:p>
    <w:p>
      <w:pPr>
        <w:pStyle w:val="101"/>
        <w:spacing w:line="460" w:lineRule="exact"/>
        <w:ind w:firstLine="480" w:firstLineChars="200"/>
        <w:rPr>
          <w:rFonts w:ascii="宋体" w:hAnsi="宋体" w:cs="宋体"/>
          <w:sz w:val="24"/>
        </w:rPr>
      </w:pPr>
      <w:r>
        <w:rPr>
          <w:rFonts w:hint="eastAsia" w:ascii="宋体" w:hAnsi="宋体" w:cs="宋体"/>
          <w:sz w:val="24"/>
        </w:rPr>
        <w:t xml:space="preserve">承包人违约的其他情形：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（1）限期改正。承包人未履行或未按时履行或未按质履行义务时，监理工程师应发出书面通知，并要求承包人必须在监理工程师限定的时间内履行义务。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（2）一般违约责任。承包人违反本合同的约定须承担一般违约责任时，承包人须承担 1万元/次的违约金；若承包人再犯性质相同的违约责任，第2 次须承担 1.5万元/次的违约金，2 次以上（不含本数）须承担2万元/次的违约金。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（3）严重违约责任。承包人违反本合同的约定须承担严重违约责任时，承包人须承担 5 万元/次的违约金。</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4）解除部分合同。当承包人违反本合同的约定符合解除部分合同的条件时，发包人有权向承包人发出书面解除部分合同的通知，该通知在送达承包人时部分解除合同即生效。承包人自行承担部分解除合同的法律后果。</w:t>
      </w:r>
    </w:p>
    <w:p>
      <w:pPr>
        <w:pStyle w:val="101"/>
        <w:spacing w:line="460" w:lineRule="exact"/>
        <w:ind w:firstLine="480" w:firstLineChars="200"/>
        <w:rPr>
          <w:rFonts w:ascii="宋体" w:hAnsi="宋体" w:cs="宋体"/>
          <w:sz w:val="24"/>
        </w:rPr>
      </w:pPr>
      <w:r>
        <w:rPr>
          <w:rFonts w:hint="eastAsia" w:ascii="宋体" w:hAnsi="宋体" w:cs="宋体"/>
          <w:sz w:val="24"/>
          <w:u w:val="single"/>
        </w:rPr>
        <w:t>（5）解除合同。当承包人违反本合同的约定符合解除全部合同的条件时，发包人有权向承包人发出书面解除全部合同的通知，该通知在送达承包人时解除合同即生效。承包人自行承担解除合同的法律后果。</w:t>
      </w:r>
      <w:r>
        <w:rPr>
          <w:rFonts w:hint="eastAsia" w:ascii="宋体" w:hAnsi="宋体" w:cs="宋体"/>
          <w:sz w:val="24"/>
        </w:rPr>
        <w:t xml:space="preserve">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①承包人接到通知后，必须在2 天内停止工程施工，并在10 天内将机械、材料、物件、人员从施工现场撤离。停工3 天内，监理工程师将会同承包人对已完成工程量进行清点：只承认已完工且符合质量验收标准的部分工程，对于已订货而未到现场或在现场未使用的材料、设备等均不予承认，由承包人自行处理；对于承包人已开工但经检验不合格的工程，承包人必须在限期内拆除，并清运出工地，由此带来的损失由承包人自行承担。 </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 xml:space="preserve">②承包人未在规定期限内离场的，发包人有权将其留在现场的材料、设备和其他物件临时转运到其它堆放处，由此产生的搬运、保管费用应由承包人负责，在此过程中出现的任何非发包人主观故意引起的损坏、遗失由承包人自行负责，处理费用由承包人在损害赔偿保证金中承担。由于合同解除引致发包人工期延误及其它方面的损失，由承包人负责赔偿。 </w:t>
      </w:r>
    </w:p>
    <w:p>
      <w:pPr>
        <w:pStyle w:val="101"/>
        <w:spacing w:line="460" w:lineRule="exact"/>
        <w:ind w:firstLine="420"/>
        <w:rPr>
          <w:rFonts w:ascii="宋体" w:hAnsi="宋体" w:cs="宋体"/>
          <w:sz w:val="24"/>
          <w:u w:val="single"/>
        </w:rPr>
      </w:pPr>
      <w:r>
        <w:rPr>
          <w:rFonts w:hint="eastAsia" w:ascii="宋体" w:hAnsi="宋体" w:cs="宋体"/>
          <w:sz w:val="24"/>
          <w:u w:val="single"/>
        </w:rPr>
        <w:t xml:space="preserve">③承包人在部分解除合同或解除合同后，还必须在规定期限内作好已施工技术资料和实物的交底、移交工作，并配合发包人重新确定施工单位。承包人因未履行上述义务而给发包人带来工期延误和其它损失的，应赔偿发包人的实际损失。 </w:t>
      </w:r>
    </w:p>
    <w:p>
      <w:pPr>
        <w:pStyle w:val="101"/>
        <w:spacing w:line="460" w:lineRule="exact"/>
        <w:ind w:firstLine="420"/>
        <w:rPr>
          <w:rFonts w:ascii="宋体" w:hAnsi="宋体" w:cs="宋体"/>
          <w:sz w:val="24"/>
          <w:u w:val="single"/>
        </w:rPr>
      </w:pPr>
      <w:r>
        <w:rPr>
          <w:rFonts w:hint="eastAsia" w:ascii="宋体" w:hAnsi="宋体" w:cs="宋体"/>
          <w:sz w:val="24"/>
          <w:u w:val="single"/>
        </w:rPr>
        <w:t>④合同解除后，不影响双方在合同中约定的结算和清理尾款的效力，亦不能免除承包人对已完工项目的保修责任。</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（6）赔偿损失。若因承包人违反本合同的约定，致使发包人解除部分或全部合同时，承包人须向发包人支付合同总价10%的违约金。</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（7）二次限期改正责任相当于一次一般违约责任；三次一般违约责任相当于一次严重违约责任；承包人在合同期内累计三次严重违约责任，发包人有权单方解除部分或全部合同。</w:t>
      </w:r>
    </w:p>
    <w:p>
      <w:pPr>
        <w:pStyle w:val="101"/>
        <w:spacing w:line="460" w:lineRule="exact"/>
        <w:ind w:firstLine="480" w:firstLineChars="200"/>
        <w:rPr>
          <w:rFonts w:ascii="宋体" w:hAnsi="宋体" w:cs="宋体"/>
          <w:sz w:val="24"/>
          <w:u w:val="single"/>
        </w:rPr>
      </w:pPr>
      <w:r>
        <w:rPr>
          <w:rFonts w:hint="eastAsia" w:ascii="宋体" w:hAnsi="宋体" w:cs="宋体"/>
          <w:sz w:val="24"/>
          <w:u w:val="single"/>
        </w:rPr>
        <w:t>（8）承包人违约须向发包人支付违约金时， 发包人有权从应支付给承包人的工程款中直接抵扣，承包人不得有异议。</w:t>
      </w:r>
    </w:p>
    <w:p>
      <w:pPr>
        <w:pStyle w:val="101"/>
        <w:spacing w:line="460" w:lineRule="exact"/>
        <w:ind w:firstLine="480" w:firstLineChars="200"/>
        <w:outlineLvl w:val="0"/>
        <w:rPr>
          <w:rFonts w:ascii="宋体" w:hAnsi="宋体" w:cs="宋体"/>
          <w:sz w:val="24"/>
        </w:rPr>
      </w:pPr>
      <w:bookmarkStart w:id="458" w:name="_Toc20951"/>
      <w:bookmarkStart w:id="459" w:name="_Toc1495"/>
      <w:bookmarkStart w:id="460" w:name="_Toc20182"/>
      <w:bookmarkStart w:id="461" w:name="_Toc8156"/>
      <w:bookmarkStart w:id="462" w:name="_Toc26377"/>
      <w:bookmarkStart w:id="463" w:name="_Toc5630"/>
      <w:bookmarkStart w:id="464" w:name="_Toc7417"/>
      <w:bookmarkStart w:id="465" w:name="_Toc12053"/>
      <w:r>
        <w:rPr>
          <w:rFonts w:hint="eastAsia" w:ascii="宋体" w:hAnsi="宋体" w:cs="宋体"/>
          <w:sz w:val="24"/>
        </w:rPr>
        <w:t>16.2.1.1 质量违约</w:t>
      </w:r>
      <w:bookmarkEnd w:id="458"/>
      <w:bookmarkEnd w:id="459"/>
      <w:bookmarkEnd w:id="460"/>
      <w:bookmarkEnd w:id="461"/>
      <w:bookmarkEnd w:id="462"/>
      <w:bookmarkEnd w:id="463"/>
      <w:bookmarkEnd w:id="464"/>
      <w:bookmarkEnd w:id="465"/>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（1）达到国家现行施工验收规范合格等级标准。达不到合同约定的质量目标，承包人须向发包人支付合同价款2%的违约金，无条件负责修复，工期不予顺延。 </w:t>
      </w:r>
    </w:p>
    <w:p>
      <w:pPr>
        <w:pStyle w:val="101"/>
        <w:spacing w:line="460" w:lineRule="exact"/>
        <w:ind w:firstLine="480" w:firstLineChars="200"/>
        <w:rPr>
          <w:rFonts w:ascii="宋体" w:hAnsi="宋体" w:cs="宋体"/>
          <w:sz w:val="24"/>
        </w:rPr>
      </w:pPr>
      <w:r>
        <w:rPr>
          <w:rFonts w:hint="eastAsia" w:ascii="宋体" w:hAnsi="宋体" w:cs="宋体"/>
          <w:sz w:val="24"/>
        </w:rPr>
        <w:t>（2）施工中出现质量问题时，发包人向承包人下达书面违约处罚通知，每次违约处罚金额在0.5万元(含0.5万元)以上的作为一次不良记录予以记载。对承包人严重违约的不良行为，发包人将向建设行政主管部门通报，发包人在其以后工程招标中，承包人的不良记录将参与评审，予以扣分。</w:t>
      </w:r>
    </w:p>
    <w:p>
      <w:pPr>
        <w:pStyle w:val="101"/>
        <w:spacing w:line="460" w:lineRule="exact"/>
        <w:ind w:firstLine="480" w:firstLineChars="200"/>
        <w:rPr>
          <w:rFonts w:ascii="宋体" w:hAnsi="宋体" w:cs="宋体"/>
          <w:sz w:val="24"/>
        </w:rPr>
      </w:pPr>
      <w:r>
        <w:rPr>
          <w:rFonts w:hint="eastAsia" w:ascii="宋体" w:hAnsi="宋体" w:cs="宋体"/>
          <w:sz w:val="24"/>
        </w:rPr>
        <w:t>（3）保修期内中出现质量问题时，发包人向承包人下达书面维修通知，若超过三次通知维修仍不安排人员维修则发包方有权按违约处罚，每次违约处罚金额在 0.5万元/次，并发包方有权安排其他人员维修，而维修费用承包方无条件承担，从保修款中扣除，以上的作为一次不良记录予以记载。对承包人严重违约的不良行为，发包人将向建设行政主管部门通报，发包人在其以后工程招标中，承包人的不良记录将参与评审，予以扣分。</w:t>
      </w:r>
    </w:p>
    <w:p>
      <w:pPr>
        <w:pStyle w:val="101"/>
        <w:spacing w:line="460" w:lineRule="exact"/>
        <w:ind w:firstLine="480" w:firstLineChars="200"/>
        <w:outlineLvl w:val="0"/>
        <w:rPr>
          <w:rFonts w:ascii="宋体" w:hAnsi="宋体" w:cs="宋体"/>
          <w:sz w:val="24"/>
        </w:rPr>
      </w:pPr>
      <w:bookmarkStart w:id="466" w:name="_Toc7053"/>
      <w:bookmarkStart w:id="467" w:name="_Toc20498"/>
      <w:bookmarkStart w:id="468" w:name="_Toc12874"/>
      <w:bookmarkStart w:id="469" w:name="_Toc21138"/>
      <w:bookmarkStart w:id="470" w:name="_Toc441"/>
      <w:bookmarkStart w:id="471" w:name="_Toc3833"/>
      <w:bookmarkStart w:id="472" w:name="_Toc14728"/>
      <w:bookmarkStart w:id="473" w:name="_Toc29839"/>
      <w:r>
        <w:rPr>
          <w:rFonts w:hint="eastAsia" w:ascii="宋体" w:hAnsi="宋体" w:cs="宋体"/>
          <w:sz w:val="24"/>
        </w:rPr>
        <w:t>16.2.1.2 安全文明施工违约：</w:t>
      </w:r>
      <w:bookmarkEnd w:id="466"/>
      <w:bookmarkEnd w:id="467"/>
      <w:bookmarkEnd w:id="468"/>
      <w:bookmarkEnd w:id="469"/>
      <w:bookmarkEnd w:id="470"/>
      <w:bookmarkEnd w:id="471"/>
      <w:bookmarkEnd w:id="472"/>
      <w:bookmarkEnd w:id="473"/>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（1）承包人在政府行政主管部门组织的质量安全检查中，被发现存在重大的安全隐患，被通报批评，或被新闻媒体曝光造成不良影响的，被通报或被曝光 1 次，承包人必须承担严重违约责任；造成严重社会影响或累计被通报或被曝光 3 次以上（含本数）或因现场存在重大安全隐患而承包人拒不整改被实施行政处罚的，发包人有权解除合同，将本工程另行发包，并不免除承包人应承担的违约赔偿责任。</w:t>
      </w:r>
    </w:p>
    <w:p>
      <w:pPr>
        <w:pStyle w:val="101"/>
        <w:spacing w:line="460" w:lineRule="exact"/>
        <w:ind w:firstLine="480" w:firstLineChars="200"/>
        <w:rPr>
          <w:rFonts w:ascii="宋体" w:hAnsi="宋体" w:cs="宋体"/>
          <w:sz w:val="24"/>
        </w:rPr>
      </w:pPr>
      <w:r>
        <w:rPr>
          <w:rFonts w:hint="eastAsia" w:ascii="宋体" w:hAnsi="宋体" w:cs="宋体"/>
          <w:sz w:val="24"/>
        </w:rPr>
        <w:t>（2）承包人在监理工程师进行的日常质量安全检查中，被发现存在安全隐患的，承包人应限期改正。若同样问题被发现2次的或累计类似问题被发现3次，承包人必须承担一般违约责任1次；此类问题的认定，以监理工程师书面通知、指令、通报和会议纪要为准。</w:t>
      </w:r>
    </w:p>
    <w:p>
      <w:pPr>
        <w:pStyle w:val="101"/>
        <w:spacing w:line="460" w:lineRule="exact"/>
        <w:ind w:firstLine="480" w:firstLineChars="200"/>
        <w:rPr>
          <w:rFonts w:ascii="宋体" w:hAnsi="宋体" w:cs="宋体"/>
          <w:sz w:val="24"/>
        </w:rPr>
      </w:pPr>
      <w:r>
        <w:rPr>
          <w:rFonts w:hint="eastAsia" w:ascii="宋体" w:hAnsi="宋体" w:cs="宋体"/>
          <w:sz w:val="24"/>
        </w:rPr>
        <w:t xml:space="preserve">（3）承包人因自身原因造成的重大安全事故（含工程质量事故）的，按国家规定由相关主管部门处罚，发包人视情况严重性，有权解除部分或全部合同。 </w:t>
      </w:r>
    </w:p>
    <w:p>
      <w:pPr>
        <w:pStyle w:val="101"/>
        <w:spacing w:line="460" w:lineRule="exact"/>
        <w:ind w:firstLine="480" w:firstLineChars="200"/>
        <w:rPr>
          <w:rFonts w:ascii="宋体" w:hAnsi="宋体" w:cs="宋体"/>
          <w:sz w:val="24"/>
        </w:rPr>
      </w:pPr>
      <w:r>
        <w:rPr>
          <w:rFonts w:hint="eastAsia" w:ascii="宋体" w:hAnsi="宋体" w:cs="宋体"/>
          <w:sz w:val="24"/>
        </w:rPr>
        <w:t xml:space="preserve">（4）监理工程师按照本合同专用条款的约定，对承包人文明施工措施进行对照检查。经检查发现承包人因自身原因未能落实的，承包人必须承担一般违约责任，并限期改正；如不限期改正，承包人须承担严重违约责任。  </w:t>
      </w:r>
    </w:p>
    <w:p>
      <w:pPr>
        <w:pStyle w:val="101"/>
        <w:spacing w:line="460" w:lineRule="exact"/>
        <w:ind w:firstLine="480" w:firstLineChars="200"/>
        <w:rPr>
          <w:rFonts w:ascii="宋体" w:hAnsi="宋体" w:cs="宋体"/>
          <w:sz w:val="24"/>
        </w:rPr>
      </w:pPr>
      <w:r>
        <w:rPr>
          <w:rFonts w:hint="eastAsia" w:ascii="宋体" w:hAnsi="宋体" w:cs="宋体"/>
          <w:sz w:val="24"/>
        </w:rPr>
        <w:t xml:space="preserve">（5）在政府行政主管部门的检查中，承包人的施工场地被评为不合格工地的，或者被通报批评的，或者被新闻媒体曝光的，承包人必须承担严重违约责任，并立即采取切实有效措施予以整改；拒不采取切实有效的措施整改的，或整改效果不明显的，发包人有权解除部分或全部合同，并要求承包人赔偿由此造成的损失。  </w:t>
      </w:r>
    </w:p>
    <w:p>
      <w:pPr>
        <w:pStyle w:val="101"/>
        <w:spacing w:line="460" w:lineRule="exact"/>
        <w:ind w:firstLine="480" w:firstLineChars="200"/>
        <w:rPr>
          <w:rFonts w:ascii="宋体" w:hAnsi="宋体" w:cs="宋体"/>
          <w:sz w:val="24"/>
        </w:rPr>
      </w:pPr>
      <w:r>
        <w:rPr>
          <w:rFonts w:hint="eastAsia" w:ascii="宋体" w:hAnsi="宋体" w:cs="宋体"/>
          <w:sz w:val="24"/>
        </w:rPr>
        <w:t xml:space="preserve">（6）承包人在施工过程中因其自身原因造成周围环境卫生状况较差，被其他施工单位或周围居民投诉的，承包人必须在当天内整改。若故意拖延或同样问题累计被投诉 2 次或以上，经查实，承包人必须承担一般违约责任 1次。 </w:t>
      </w:r>
    </w:p>
    <w:p>
      <w:pPr>
        <w:pStyle w:val="101"/>
        <w:spacing w:line="460" w:lineRule="exact"/>
        <w:ind w:firstLine="480" w:firstLineChars="200"/>
        <w:rPr>
          <w:rFonts w:ascii="宋体" w:hAnsi="宋体" w:cs="宋体"/>
          <w:sz w:val="24"/>
        </w:rPr>
      </w:pPr>
      <w:r>
        <w:rPr>
          <w:rFonts w:hint="eastAsia" w:ascii="宋体" w:hAnsi="宋体" w:cs="宋体"/>
          <w:sz w:val="24"/>
        </w:rPr>
        <w:t>（7）由于承包人自身原因造成的工程质量、安全隐患等，发包人或监理工程师发出口头指令和整改通知书后；拒不配合、不整改，或在限期内未完成整改 的，承包人承担一般违约责任。对于同一整改事项，由发包人或监理工程师二次 下发整改通知书后仍未在规定限期整改到位的，承包人承担严重违约责任。发包 人可安排其他施工队伍代为完成，并据实在责任方工程款中扣除相关费用；发生 3 次及以上严重违约责任的，发包人可单方面解除合同，并由承包人承担相关损 失 。</w:t>
      </w:r>
    </w:p>
    <w:p>
      <w:pPr>
        <w:pStyle w:val="101"/>
        <w:spacing w:line="460" w:lineRule="exact"/>
        <w:ind w:firstLine="480" w:firstLineChars="200"/>
        <w:outlineLvl w:val="0"/>
        <w:rPr>
          <w:rFonts w:ascii="宋体" w:hAnsi="宋体" w:cs="宋体"/>
          <w:sz w:val="24"/>
        </w:rPr>
      </w:pPr>
      <w:bookmarkStart w:id="474" w:name="_Toc16405"/>
      <w:bookmarkStart w:id="475" w:name="_Toc12709"/>
      <w:bookmarkStart w:id="476" w:name="_Toc23423"/>
      <w:bookmarkStart w:id="477" w:name="_Toc9306"/>
      <w:bookmarkStart w:id="478" w:name="_Toc7101"/>
      <w:bookmarkStart w:id="479" w:name="_Toc19993"/>
      <w:bookmarkStart w:id="480" w:name="_Toc7213"/>
      <w:bookmarkStart w:id="481" w:name="_Toc11738"/>
      <w:r>
        <w:rPr>
          <w:rFonts w:hint="eastAsia" w:ascii="宋体" w:hAnsi="宋体" w:cs="宋体"/>
          <w:sz w:val="24"/>
        </w:rPr>
        <w:t>16.2.1.3 材料与设备质量违约：</w:t>
      </w:r>
      <w:bookmarkEnd w:id="474"/>
      <w:bookmarkEnd w:id="475"/>
      <w:bookmarkEnd w:id="476"/>
      <w:bookmarkEnd w:id="477"/>
      <w:bookmarkEnd w:id="478"/>
      <w:bookmarkEnd w:id="479"/>
      <w:bookmarkEnd w:id="480"/>
      <w:bookmarkEnd w:id="481"/>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（1）监理工程师按照专用条款第 8.2款的约定抽查承包人的工程材料时，发现所检查的材料与该条款约定的标准的任何一项不符合时，承包人除必须全部退货、返工，并赔偿由此造成的损失外，承包人应当按照该批次材料的价值，按照如下方式承担违约责任： </w:t>
      </w:r>
    </w:p>
    <w:p>
      <w:pPr>
        <w:pStyle w:val="101"/>
        <w:spacing w:line="460" w:lineRule="exact"/>
        <w:ind w:firstLine="480" w:firstLineChars="200"/>
        <w:rPr>
          <w:rFonts w:ascii="宋体" w:hAnsi="宋体" w:cs="宋体"/>
          <w:sz w:val="24"/>
        </w:rPr>
      </w:pPr>
      <w:r>
        <w:rPr>
          <w:rFonts w:hint="eastAsia" w:ascii="宋体" w:hAnsi="宋体" w:cs="宋体"/>
          <w:sz w:val="24"/>
        </w:rPr>
        <w:t xml:space="preserve">A、对于单宗或批次材料价值不高于 5万元的（含5万元），但累计抽检不合格达 5次，承包人承担 1次一般违约责任。  </w:t>
      </w:r>
    </w:p>
    <w:p>
      <w:pPr>
        <w:pStyle w:val="101"/>
        <w:spacing w:line="460" w:lineRule="exact"/>
        <w:ind w:firstLine="480" w:firstLineChars="200"/>
        <w:rPr>
          <w:rFonts w:ascii="宋体" w:hAnsi="宋体" w:cs="宋体"/>
          <w:sz w:val="24"/>
        </w:rPr>
      </w:pPr>
      <w:r>
        <w:rPr>
          <w:rFonts w:hint="eastAsia" w:ascii="宋体" w:hAnsi="宋体" w:cs="宋体"/>
          <w:sz w:val="24"/>
        </w:rPr>
        <w:t xml:space="preserve">B、单宗或批次材料价值在 5万元以上 15万元以下（含 15万元），承包人承担 1次严重违约责任。  </w:t>
      </w:r>
    </w:p>
    <w:p>
      <w:pPr>
        <w:pStyle w:val="101"/>
        <w:spacing w:line="460" w:lineRule="exact"/>
        <w:ind w:firstLine="480" w:firstLineChars="200"/>
        <w:rPr>
          <w:rFonts w:ascii="宋体" w:hAnsi="宋体" w:cs="宋体"/>
          <w:sz w:val="24"/>
        </w:rPr>
      </w:pPr>
      <w:r>
        <w:rPr>
          <w:rFonts w:hint="eastAsia" w:ascii="宋体" w:hAnsi="宋体" w:cs="宋体"/>
          <w:sz w:val="24"/>
        </w:rPr>
        <w:t xml:space="preserve">C、单宗或批次材料价值 15万元以上，发包人有权部分解除合同或全部解除合同，并要求承包人赔偿发包人由此遭受的实际损失。  </w:t>
      </w:r>
    </w:p>
    <w:p>
      <w:pPr>
        <w:pStyle w:val="101"/>
        <w:spacing w:line="460" w:lineRule="exact"/>
        <w:ind w:firstLine="480" w:firstLineChars="200"/>
        <w:rPr>
          <w:rFonts w:ascii="宋体" w:hAnsi="宋体" w:cs="宋体"/>
          <w:sz w:val="24"/>
        </w:rPr>
      </w:pPr>
      <w:r>
        <w:rPr>
          <w:rFonts w:hint="eastAsia" w:ascii="宋体" w:hAnsi="宋体" w:cs="宋体"/>
          <w:sz w:val="24"/>
        </w:rPr>
        <w:t>（2）承包人对各工序必须报验核查质量控制点。如承包人申请报验后，经监理工程师或发包人检查发现存在质量问题，则该工序质量为不合格，承包人必须全部返工，返工后经检查合格才准进入下一工序，工期不予顺延。</w:t>
      </w:r>
    </w:p>
    <w:p>
      <w:pPr>
        <w:pStyle w:val="101"/>
        <w:spacing w:line="460" w:lineRule="exact"/>
        <w:ind w:firstLine="480" w:firstLineChars="200"/>
        <w:rPr>
          <w:rFonts w:ascii="宋体" w:hAnsi="宋体" w:cs="宋体"/>
          <w:sz w:val="24"/>
        </w:rPr>
      </w:pPr>
      <w:r>
        <w:rPr>
          <w:rFonts w:hint="eastAsia" w:ascii="宋体" w:hAnsi="宋体" w:cs="宋体"/>
          <w:sz w:val="24"/>
        </w:rPr>
        <w:t>复检的结果，按每一分项工程计算，总计发现 3 次或连续发现 2 次质量控制点不合格的，承包人承担严重违约责任；总计发现 3次以上（不含本数）或连续发现 2 次以上（不含本数）质量控制点不合格的，发包人有权部分解除合同，将该分项工程另行发包，并不免除承包人应承担的违约赔偿责任。</w:t>
      </w:r>
    </w:p>
    <w:p>
      <w:pPr>
        <w:pStyle w:val="101"/>
        <w:spacing w:line="460" w:lineRule="exact"/>
        <w:ind w:firstLine="480" w:firstLineChars="200"/>
        <w:rPr>
          <w:rFonts w:ascii="宋体" w:hAnsi="宋体" w:cs="宋体"/>
          <w:sz w:val="24"/>
        </w:rPr>
      </w:pPr>
      <w:r>
        <w:rPr>
          <w:rFonts w:hint="eastAsia" w:ascii="宋体" w:hAnsi="宋体" w:cs="宋体"/>
          <w:sz w:val="24"/>
        </w:rPr>
        <w:t>隐蔽工程，在隐蔽前承包人应通知监理单位或发包人进行验收，如未通知， 擅自覆盖，发包人有权对已覆盖的部位进行钻孔探测或揭开重新检查，由此增加的费用和延误工期，由承包人承担。</w:t>
      </w:r>
    </w:p>
    <w:p>
      <w:pPr>
        <w:pStyle w:val="101"/>
        <w:spacing w:line="460" w:lineRule="exact"/>
        <w:ind w:firstLine="480" w:firstLineChars="200"/>
        <w:rPr>
          <w:rFonts w:ascii="宋体" w:hAnsi="宋体" w:cs="宋体"/>
          <w:sz w:val="24"/>
        </w:rPr>
      </w:pPr>
      <w:r>
        <w:rPr>
          <w:rFonts w:hint="eastAsia" w:ascii="宋体" w:hAnsi="宋体" w:cs="宋体"/>
          <w:sz w:val="24"/>
        </w:rPr>
        <w:t xml:space="preserve">（3）暂定材料的供应商及采购单价，由发包人和承包人按设计要求，共同组织公开询价确定。承包人必须按照经双方确认的询价结果签订采购合同，并承担与承包人自购材料完全相同的采购、保管、施工、保修等责任。若承包商不按上述要求进行采购，则承担合同总价款 1% 的违约金。 </w:t>
      </w:r>
    </w:p>
    <w:p>
      <w:pPr>
        <w:pStyle w:val="101"/>
        <w:spacing w:line="460" w:lineRule="exact"/>
        <w:ind w:firstLine="480" w:firstLineChars="200"/>
        <w:outlineLvl w:val="0"/>
        <w:rPr>
          <w:rFonts w:ascii="宋体" w:hAnsi="宋体" w:cs="宋体"/>
          <w:sz w:val="24"/>
        </w:rPr>
      </w:pPr>
      <w:bookmarkStart w:id="482" w:name="_Toc21027"/>
      <w:bookmarkStart w:id="483" w:name="_Toc7931"/>
      <w:bookmarkStart w:id="484" w:name="_Toc2340"/>
      <w:bookmarkStart w:id="485" w:name="_Toc24787"/>
      <w:bookmarkStart w:id="486" w:name="_Toc22644"/>
      <w:bookmarkStart w:id="487" w:name="_Toc32328"/>
      <w:bookmarkStart w:id="488" w:name="_Toc3478"/>
      <w:bookmarkStart w:id="489" w:name="_Toc1100"/>
      <w:r>
        <w:rPr>
          <w:rFonts w:hint="eastAsia" w:ascii="宋体" w:hAnsi="宋体" w:cs="宋体"/>
          <w:sz w:val="24"/>
        </w:rPr>
        <w:t>16.2.1.4 其它违约</w:t>
      </w:r>
      <w:bookmarkEnd w:id="482"/>
      <w:bookmarkEnd w:id="483"/>
      <w:bookmarkEnd w:id="484"/>
      <w:bookmarkEnd w:id="485"/>
      <w:bookmarkEnd w:id="486"/>
      <w:bookmarkEnd w:id="487"/>
      <w:bookmarkEnd w:id="488"/>
      <w:bookmarkEnd w:id="489"/>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（1）如因承包人未能及时交纳相关费用延误发包人办理上述手续，发包人有权从承包人应付进度款中代为交纳，且承包人向发包人支付2万元/件次的违约金。 </w:t>
      </w:r>
    </w:p>
    <w:p>
      <w:pPr>
        <w:pStyle w:val="101"/>
        <w:spacing w:line="460" w:lineRule="exact"/>
        <w:ind w:firstLine="480" w:firstLineChars="200"/>
        <w:rPr>
          <w:rFonts w:ascii="宋体" w:hAnsi="宋体" w:cs="宋体"/>
          <w:sz w:val="24"/>
        </w:rPr>
      </w:pPr>
      <w:r>
        <w:rPr>
          <w:rFonts w:hint="eastAsia" w:ascii="宋体" w:hAnsi="宋体" w:cs="宋体"/>
          <w:sz w:val="24"/>
        </w:rPr>
        <w:t xml:space="preserve">（2）承包人将本工程转让、转包、分包，发包人除处以 10万元罚款外，发包人可单方解除合同，造成的损失由承包人赔偿； </w:t>
      </w:r>
    </w:p>
    <w:p>
      <w:pPr>
        <w:pStyle w:val="101"/>
        <w:spacing w:line="460" w:lineRule="exact"/>
        <w:ind w:firstLine="480" w:firstLineChars="200"/>
        <w:rPr>
          <w:rFonts w:ascii="宋体" w:hAnsi="宋体" w:cs="宋体"/>
          <w:sz w:val="24"/>
        </w:rPr>
      </w:pPr>
      <w:r>
        <w:rPr>
          <w:rFonts w:hint="eastAsia" w:ascii="宋体" w:hAnsi="宋体" w:cs="宋体"/>
          <w:sz w:val="24"/>
        </w:rPr>
        <w:t xml:space="preserve">（3）合同解除后，承包人没有按照发包人通知的时间和要求自费将机械设备和人员撤出施工场地的，每延迟一天，应赔偿发包人损失 1 万元人民币； </w:t>
      </w:r>
    </w:p>
    <w:p>
      <w:pPr>
        <w:pStyle w:val="101"/>
        <w:spacing w:line="460" w:lineRule="exact"/>
        <w:ind w:firstLine="480" w:firstLineChars="200"/>
        <w:rPr>
          <w:rFonts w:ascii="宋体" w:hAnsi="宋体" w:cs="宋体"/>
          <w:sz w:val="24"/>
        </w:rPr>
      </w:pPr>
      <w:r>
        <w:rPr>
          <w:rFonts w:hint="eastAsia" w:ascii="宋体" w:hAnsi="宋体" w:cs="宋体"/>
          <w:sz w:val="24"/>
        </w:rPr>
        <w:t xml:space="preserve">16.2.2承包人违约的责任 </w:t>
      </w:r>
    </w:p>
    <w:p>
      <w:pPr>
        <w:pStyle w:val="101"/>
        <w:spacing w:line="460" w:lineRule="exact"/>
        <w:ind w:firstLine="480" w:firstLineChars="200"/>
        <w:rPr>
          <w:rFonts w:ascii="宋体" w:hAnsi="宋体" w:cs="宋体"/>
          <w:sz w:val="24"/>
        </w:rPr>
      </w:pPr>
      <w:r>
        <w:rPr>
          <w:rFonts w:hint="eastAsia" w:ascii="宋体" w:hAnsi="宋体" w:cs="宋体"/>
          <w:sz w:val="24"/>
        </w:rPr>
        <w:t>承包人违约责任的承担方式和计算方法：</w:t>
      </w:r>
      <w:r>
        <w:rPr>
          <w:rFonts w:hint="eastAsia" w:ascii="宋体" w:hAnsi="宋体" w:cs="宋体"/>
          <w:sz w:val="24"/>
          <w:u w:val="single"/>
        </w:rPr>
        <w:t xml:space="preserve"> 按16.2.1条规定执行  </w:t>
      </w:r>
      <w:r>
        <w:rPr>
          <w:rFonts w:hint="eastAsia" w:ascii="宋体" w:hAnsi="宋体" w:cs="宋体"/>
          <w:sz w:val="24"/>
        </w:rPr>
        <w:t xml:space="preserve"> 。         </w:t>
      </w:r>
    </w:p>
    <w:p>
      <w:pPr>
        <w:pStyle w:val="101"/>
        <w:spacing w:line="460" w:lineRule="exact"/>
        <w:ind w:firstLine="480" w:firstLineChars="200"/>
        <w:rPr>
          <w:rFonts w:ascii="宋体" w:hAnsi="宋体" w:cs="宋体"/>
          <w:sz w:val="24"/>
        </w:rPr>
      </w:pPr>
      <w:r>
        <w:rPr>
          <w:rFonts w:hint="eastAsia" w:ascii="宋体" w:hAnsi="宋体" w:cs="宋体"/>
          <w:sz w:val="24"/>
        </w:rPr>
        <w:t xml:space="preserve">16.2.3 因承包人违约解除合同 </w:t>
      </w:r>
    </w:p>
    <w:p>
      <w:pPr>
        <w:pStyle w:val="101"/>
        <w:spacing w:line="460" w:lineRule="exact"/>
        <w:ind w:firstLine="480" w:firstLineChars="200"/>
        <w:rPr>
          <w:rFonts w:ascii="宋体" w:hAnsi="宋体" w:cs="宋体"/>
          <w:sz w:val="24"/>
        </w:rPr>
      </w:pPr>
      <w:r>
        <w:rPr>
          <w:rFonts w:hint="eastAsia" w:ascii="宋体" w:hAnsi="宋体" w:cs="宋体"/>
          <w:sz w:val="24"/>
        </w:rPr>
        <w:t>关于承包人违约解除合同的特别约定：</w:t>
      </w:r>
      <w:r>
        <w:rPr>
          <w:rFonts w:hint="eastAsia" w:ascii="宋体" w:hAnsi="宋体" w:cs="宋体"/>
          <w:sz w:val="24"/>
          <w:u w:val="single"/>
        </w:rPr>
        <w:t xml:space="preserve"> 按合同相关条款执行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发包人继续使用承包人在施工现场的材料、设备、临时工程、承包人文件和由承包人或以其名义编制的其他文件的费用承担方式：</w:t>
      </w:r>
      <w:r>
        <w:rPr>
          <w:rFonts w:hint="eastAsia" w:ascii="宋体" w:hAnsi="宋体" w:cs="宋体"/>
          <w:sz w:val="24"/>
          <w:u w:val="single"/>
        </w:rPr>
        <w:t xml:space="preserve">另行确定  </w:t>
      </w:r>
      <w:r>
        <w:rPr>
          <w:rFonts w:hint="eastAsia" w:ascii="宋体" w:hAnsi="宋体" w:cs="宋体"/>
          <w:sz w:val="24"/>
        </w:rPr>
        <w:t xml:space="preserve"> 。 </w:t>
      </w:r>
    </w:p>
    <w:p>
      <w:pPr>
        <w:pStyle w:val="101"/>
        <w:spacing w:line="460" w:lineRule="exact"/>
        <w:ind w:firstLine="480" w:firstLineChars="200"/>
        <w:rPr>
          <w:rFonts w:ascii="宋体" w:hAnsi="宋体" w:cs="宋体"/>
          <w:sz w:val="24"/>
        </w:rPr>
      </w:pPr>
      <w:r>
        <w:rPr>
          <w:rFonts w:hint="eastAsia" w:ascii="宋体" w:hAnsi="宋体" w:cs="宋体"/>
          <w:sz w:val="24"/>
        </w:rPr>
        <w:t xml:space="preserve">17. 不可抗力   </w:t>
      </w:r>
    </w:p>
    <w:p>
      <w:pPr>
        <w:pStyle w:val="101"/>
        <w:spacing w:line="460" w:lineRule="exact"/>
        <w:ind w:firstLine="480" w:firstLineChars="200"/>
        <w:rPr>
          <w:rFonts w:ascii="宋体" w:hAnsi="宋体" w:cs="宋体"/>
          <w:sz w:val="24"/>
        </w:rPr>
      </w:pPr>
      <w:r>
        <w:rPr>
          <w:rFonts w:hint="eastAsia" w:ascii="宋体" w:hAnsi="宋体" w:cs="宋体"/>
          <w:sz w:val="24"/>
        </w:rPr>
        <w:t xml:space="preserve">17.1 不可抗力的确认 </w:t>
      </w:r>
    </w:p>
    <w:p>
      <w:pPr>
        <w:pStyle w:val="101"/>
        <w:spacing w:line="460" w:lineRule="exact"/>
        <w:ind w:firstLine="480" w:firstLineChars="200"/>
        <w:rPr>
          <w:rFonts w:ascii="宋体" w:hAnsi="宋体" w:cs="宋体"/>
          <w:sz w:val="24"/>
          <w:u w:val="single"/>
        </w:rPr>
      </w:pPr>
      <w:r>
        <w:rPr>
          <w:rFonts w:hint="eastAsia" w:ascii="宋体" w:hAnsi="宋体" w:cs="宋体"/>
          <w:sz w:val="24"/>
        </w:rPr>
        <w:t>除通用合同条款约定的不可抗力事件之外，视为不可抗力的其他情形：</w:t>
      </w:r>
      <w:r>
        <w:rPr>
          <w:rFonts w:hint="eastAsia" w:ascii="宋体" w:hAnsi="宋体" w:cs="宋体"/>
          <w:sz w:val="24"/>
          <w:u w:val="single"/>
        </w:rPr>
        <w:t xml:space="preserve">指战争、动乱、地震、空中飞行物坠落或非发包人、承包人责任造成的爆炸、火灾以及百年一遇以上等级的风、雨、雪自然灾害 。 </w:t>
      </w:r>
    </w:p>
    <w:p>
      <w:pPr>
        <w:pStyle w:val="101"/>
        <w:spacing w:line="460" w:lineRule="exact"/>
        <w:ind w:firstLine="480" w:firstLineChars="200"/>
        <w:rPr>
          <w:rFonts w:ascii="宋体" w:hAnsi="宋体" w:cs="宋体"/>
          <w:sz w:val="24"/>
        </w:rPr>
      </w:pPr>
      <w:r>
        <w:rPr>
          <w:rFonts w:hint="eastAsia" w:ascii="宋体" w:hAnsi="宋体" w:cs="宋体"/>
          <w:sz w:val="24"/>
        </w:rPr>
        <w:t xml:space="preserve">17.4 因不可抗力解除合同  </w:t>
      </w:r>
    </w:p>
    <w:p>
      <w:pPr>
        <w:pStyle w:val="101"/>
        <w:spacing w:line="460" w:lineRule="exact"/>
        <w:ind w:firstLine="480" w:firstLineChars="200"/>
        <w:rPr>
          <w:rFonts w:ascii="宋体" w:hAnsi="宋体" w:cs="宋体"/>
          <w:sz w:val="24"/>
        </w:rPr>
      </w:pPr>
      <w:r>
        <w:rPr>
          <w:rFonts w:hint="eastAsia" w:ascii="宋体" w:hAnsi="宋体" w:cs="宋体"/>
          <w:sz w:val="24"/>
        </w:rPr>
        <w:t>因不可抗力导致合同目的不能实现的，发包人和承包人均有权解除合同。</w:t>
      </w:r>
    </w:p>
    <w:p>
      <w:pPr>
        <w:pStyle w:val="101"/>
        <w:spacing w:line="460" w:lineRule="exact"/>
        <w:ind w:firstLine="480" w:firstLineChars="200"/>
        <w:rPr>
          <w:rFonts w:ascii="宋体" w:hAnsi="宋体" w:cs="宋体"/>
          <w:sz w:val="24"/>
        </w:rPr>
      </w:pPr>
      <w:r>
        <w:rPr>
          <w:rFonts w:hint="eastAsia" w:ascii="宋体" w:hAnsi="宋体" w:cs="宋体"/>
          <w:sz w:val="24"/>
        </w:rPr>
        <w:t xml:space="preserve">18. 保险 </w:t>
      </w:r>
    </w:p>
    <w:p>
      <w:pPr>
        <w:pStyle w:val="101"/>
        <w:spacing w:line="460" w:lineRule="exact"/>
        <w:ind w:firstLine="480" w:firstLineChars="200"/>
        <w:rPr>
          <w:rFonts w:ascii="宋体" w:hAnsi="宋体" w:cs="宋体"/>
          <w:sz w:val="24"/>
        </w:rPr>
      </w:pPr>
      <w:r>
        <w:rPr>
          <w:rFonts w:hint="eastAsia" w:ascii="宋体" w:hAnsi="宋体" w:cs="宋体"/>
          <w:sz w:val="24"/>
        </w:rPr>
        <w:t xml:space="preserve">18.1 工程保险 </w:t>
      </w:r>
    </w:p>
    <w:p>
      <w:pPr>
        <w:pStyle w:val="101"/>
        <w:spacing w:line="460" w:lineRule="exact"/>
        <w:ind w:firstLine="480" w:firstLineChars="200"/>
        <w:rPr>
          <w:rFonts w:ascii="宋体" w:hAnsi="宋体" w:cs="宋体"/>
          <w:sz w:val="24"/>
        </w:rPr>
      </w:pPr>
      <w:r>
        <w:rPr>
          <w:rFonts w:hint="eastAsia" w:ascii="宋体" w:hAnsi="宋体" w:cs="宋体"/>
          <w:sz w:val="24"/>
        </w:rPr>
        <w:t>关于工程保险的特别约定：</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18.3 其他保险 </w:t>
      </w:r>
    </w:p>
    <w:p>
      <w:pPr>
        <w:pStyle w:val="101"/>
        <w:spacing w:line="460" w:lineRule="exact"/>
        <w:ind w:firstLine="480" w:firstLineChars="200"/>
        <w:rPr>
          <w:rFonts w:ascii="宋体" w:hAnsi="宋体" w:cs="宋体"/>
          <w:sz w:val="24"/>
        </w:rPr>
      </w:pPr>
      <w:r>
        <w:rPr>
          <w:rFonts w:hint="eastAsia" w:ascii="宋体" w:hAnsi="宋体" w:cs="宋体"/>
          <w:sz w:val="24"/>
        </w:rPr>
        <w:t>关于其他保险的约定：承包人应为其在施工现场的全部人员办理意外伤害保险并支付保险费。农民工工伤保险由承包人根据《宜昌市城区建筑业工伤保险实施意见》（宜人社发【2015】45号）文件办理。此费用包含在投标报价里面。</w:t>
      </w:r>
    </w:p>
    <w:p>
      <w:pPr>
        <w:pStyle w:val="101"/>
        <w:spacing w:line="460" w:lineRule="exact"/>
        <w:ind w:firstLine="480" w:firstLineChars="200"/>
        <w:rPr>
          <w:rFonts w:ascii="宋体" w:hAnsi="宋体" w:cs="宋体"/>
          <w:sz w:val="24"/>
        </w:rPr>
      </w:pPr>
      <w:r>
        <w:rPr>
          <w:rFonts w:hint="eastAsia" w:ascii="宋体" w:hAnsi="宋体" w:cs="宋体"/>
          <w:sz w:val="24"/>
        </w:rPr>
        <w:t>承包人是否应为其施工设备等办理财产保险：</w:t>
      </w:r>
      <w:r>
        <w:rPr>
          <w:rFonts w:hint="eastAsia" w:ascii="宋体" w:hAnsi="宋体" w:cs="宋体"/>
          <w:sz w:val="24"/>
          <w:u w:val="single"/>
        </w:rPr>
        <w:t xml:space="preserve">需要，费用自理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18.7 通知义务 </w:t>
      </w:r>
    </w:p>
    <w:p>
      <w:pPr>
        <w:pStyle w:val="101"/>
        <w:spacing w:line="460" w:lineRule="exact"/>
        <w:ind w:firstLine="480" w:firstLineChars="200"/>
        <w:rPr>
          <w:rFonts w:ascii="宋体" w:hAnsi="宋体" w:cs="宋体"/>
          <w:sz w:val="24"/>
        </w:rPr>
      </w:pPr>
      <w:r>
        <w:rPr>
          <w:rFonts w:hint="eastAsia" w:ascii="宋体" w:hAnsi="宋体" w:cs="宋体"/>
          <w:sz w:val="24"/>
        </w:rPr>
        <w:t>关于变更保险合同时的通知义务的约定：</w:t>
      </w:r>
      <w:r>
        <w:rPr>
          <w:rFonts w:hint="eastAsia" w:ascii="宋体" w:hAnsi="宋体" w:cs="宋体"/>
          <w:sz w:val="24"/>
          <w:u w:val="single"/>
        </w:rPr>
        <w:t>按通用条款执行</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20. 争议解决 </w:t>
      </w:r>
    </w:p>
    <w:p>
      <w:pPr>
        <w:pStyle w:val="101"/>
        <w:spacing w:line="460" w:lineRule="exact"/>
        <w:ind w:firstLine="480" w:firstLineChars="200"/>
        <w:outlineLvl w:val="0"/>
        <w:rPr>
          <w:rFonts w:ascii="宋体" w:hAnsi="宋体" w:cs="宋体"/>
          <w:sz w:val="24"/>
        </w:rPr>
      </w:pPr>
      <w:bookmarkStart w:id="490" w:name="_Toc29103"/>
      <w:bookmarkStart w:id="491" w:name="_Toc15121"/>
      <w:bookmarkStart w:id="492" w:name="_Toc8936"/>
      <w:bookmarkStart w:id="493" w:name="_Toc18460"/>
      <w:bookmarkStart w:id="494" w:name="_Toc2919"/>
      <w:bookmarkStart w:id="495" w:name="_Toc22330"/>
      <w:bookmarkStart w:id="496" w:name="_Toc18915"/>
      <w:bookmarkStart w:id="497" w:name="_Toc7626"/>
      <w:r>
        <w:rPr>
          <w:rFonts w:hint="eastAsia" w:ascii="宋体" w:hAnsi="宋体" w:cs="宋体"/>
          <w:sz w:val="24"/>
        </w:rPr>
        <w:t>20.3 争议评审</w:t>
      </w:r>
      <w:bookmarkEnd w:id="490"/>
      <w:bookmarkEnd w:id="491"/>
      <w:bookmarkEnd w:id="492"/>
      <w:bookmarkEnd w:id="493"/>
      <w:bookmarkEnd w:id="494"/>
      <w:bookmarkEnd w:id="495"/>
      <w:bookmarkEnd w:id="496"/>
      <w:bookmarkEnd w:id="497"/>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   /   </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498" w:name="_Toc31089"/>
      <w:bookmarkStart w:id="499" w:name="_Toc30342"/>
      <w:bookmarkStart w:id="500" w:name="_Toc17243"/>
      <w:bookmarkStart w:id="501" w:name="_Toc19951"/>
      <w:bookmarkStart w:id="502" w:name="_Toc7973"/>
      <w:bookmarkStart w:id="503" w:name="_Toc21441"/>
      <w:bookmarkStart w:id="504" w:name="_Toc6690"/>
      <w:bookmarkStart w:id="505" w:name="_Toc6844"/>
      <w:r>
        <w:rPr>
          <w:rFonts w:hint="eastAsia" w:ascii="宋体" w:hAnsi="宋体" w:cs="宋体"/>
          <w:sz w:val="24"/>
        </w:rPr>
        <w:t>20.3.1 争议评审小组的确定</w:t>
      </w:r>
      <w:bookmarkEnd w:id="498"/>
      <w:bookmarkEnd w:id="499"/>
      <w:bookmarkEnd w:id="500"/>
      <w:bookmarkEnd w:id="501"/>
      <w:bookmarkEnd w:id="502"/>
      <w:bookmarkEnd w:id="503"/>
      <w:bookmarkEnd w:id="504"/>
      <w:bookmarkEnd w:id="505"/>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争议评审小组成员的确定：</w:t>
      </w:r>
      <w:r>
        <w:rPr>
          <w:rFonts w:hint="eastAsia" w:ascii="宋体" w:hAnsi="宋体" w:cs="宋体"/>
          <w:sz w:val="24"/>
          <w:u w:val="single"/>
        </w:rPr>
        <w:t xml:space="preserve">/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w:t>
      </w:r>
      <w:r>
        <w:rPr>
          <w:rFonts w:hint="eastAsia" w:ascii="宋体" w:hAnsi="宋体" w:cs="宋体"/>
          <w:sz w:val="24"/>
        </w:rPr>
        <w:t xml:space="preserve">。 </w:t>
      </w:r>
    </w:p>
    <w:p>
      <w:pPr>
        <w:pStyle w:val="101"/>
        <w:spacing w:line="460" w:lineRule="exact"/>
        <w:ind w:firstLine="480" w:firstLineChars="200"/>
        <w:outlineLvl w:val="0"/>
        <w:rPr>
          <w:rFonts w:ascii="宋体" w:hAnsi="宋体" w:cs="宋体"/>
          <w:sz w:val="24"/>
        </w:rPr>
      </w:pPr>
      <w:bookmarkStart w:id="506" w:name="_Toc18992"/>
      <w:bookmarkStart w:id="507" w:name="_Toc5872"/>
      <w:bookmarkStart w:id="508" w:name="_Toc31076"/>
      <w:bookmarkStart w:id="509" w:name="_Toc26792"/>
      <w:bookmarkStart w:id="510" w:name="_Toc16214"/>
      <w:bookmarkStart w:id="511" w:name="_Toc3668"/>
      <w:bookmarkStart w:id="512" w:name="_Toc19281"/>
      <w:bookmarkStart w:id="513" w:name="_Toc26962"/>
      <w:r>
        <w:rPr>
          <w:rFonts w:hint="eastAsia" w:ascii="宋体" w:hAnsi="宋体" w:cs="宋体"/>
          <w:sz w:val="24"/>
        </w:rPr>
        <w:t>20.3.2 争议评审小组的决定</w:t>
      </w:r>
      <w:bookmarkEnd w:id="506"/>
      <w:bookmarkEnd w:id="507"/>
      <w:bookmarkEnd w:id="508"/>
      <w:bookmarkEnd w:id="509"/>
      <w:bookmarkEnd w:id="510"/>
      <w:bookmarkEnd w:id="511"/>
      <w:bookmarkEnd w:id="512"/>
      <w:bookmarkEnd w:id="513"/>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w:t>
      </w:r>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20.4仲裁或诉讼  </w:t>
      </w:r>
    </w:p>
    <w:p>
      <w:pPr>
        <w:pStyle w:val="101"/>
        <w:spacing w:line="460" w:lineRule="exact"/>
        <w:ind w:firstLine="480" w:firstLineChars="200"/>
        <w:rPr>
          <w:rFonts w:ascii="宋体" w:hAnsi="宋体" w:cs="宋体"/>
          <w:sz w:val="24"/>
        </w:rPr>
      </w:pPr>
      <w:r>
        <w:rPr>
          <w:rFonts w:hint="eastAsia" w:ascii="宋体" w:hAnsi="宋体" w:cs="宋体"/>
          <w:sz w:val="24"/>
        </w:rPr>
        <w:t xml:space="preserve">因合同及合同有关事项发生的争议，按下列第（1）种方式解决： </w:t>
      </w:r>
    </w:p>
    <w:p>
      <w:pPr>
        <w:pStyle w:val="101"/>
        <w:spacing w:line="460" w:lineRule="exact"/>
        <w:ind w:firstLine="480" w:firstLineChars="200"/>
        <w:rPr>
          <w:rFonts w:ascii="宋体" w:hAnsi="宋体" w:cs="宋体"/>
          <w:sz w:val="24"/>
        </w:rPr>
      </w:pPr>
      <w:r>
        <w:rPr>
          <w:rFonts w:hint="eastAsia" w:ascii="宋体" w:hAnsi="宋体" w:cs="宋体"/>
          <w:sz w:val="24"/>
        </w:rPr>
        <w:t xml:space="preserve">（1）向宜昌仲裁委员会申请仲裁； </w:t>
      </w:r>
    </w:p>
    <w:p>
      <w:pPr>
        <w:pStyle w:val="101"/>
        <w:spacing w:line="460" w:lineRule="exact"/>
        <w:ind w:firstLine="480" w:firstLineChars="200"/>
        <w:rPr>
          <w:rFonts w:ascii="宋体" w:hAnsi="宋体" w:cs="宋体"/>
          <w:sz w:val="24"/>
        </w:rPr>
      </w:pPr>
      <w:r>
        <w:rPr>
          <w:rFonts w:hint="eastAsia" w:ascii="宋体" w:hAnsi="宋体" w:cs="宋体"/>
          <w:sz w:val="24"/>
        </w:rPr>
        <w:t xml:space="preserve">（2）向宜昌市中级人民法院起诉。 </w:t>
      </w:r>
    </w:p>
    <w:p>
      <w:pPr>
        <w:pStyle w:val="101"/>
        <w:spacing w:line="460" w:lineRule="exact"/>
        <w:ind w:firstLine="480" w:firstLineChars="200"/>
        <w:rPr>
          <w:rFonts w:ascii="宋体" w:hAnsi="宋体" w:cs="宋体"/>
          <w:sz w:val="24"/>
        </w:rPr>
      </w:pPr>
      <w:r>
        <w:rPr>
          <w:rFonts w:hint="eastAsia" w:ascii="宋体" w:hAnsi="宋体" w:cs="宋体"/>
          <w:sz w:val="24"/>
        </w:rPr>
        <w:t xml:space="preserve">21 补充条款 </w:t>
      </w:r>
    </w:p>
    <w:p>
      <w:pPr>
        <w:pStyle w:val="101"/>
        <w:spacing w:line="460" w:lineRule="exact"/>
        <w:ind w:firstLine="480" w:firstLineChars="200"/>
        <w:outlineLvl w:val="0"/>
        <w:rPr>
          <w:rFonts w:ascii="宋体" w:hAnsi="宋体" w:cs="宋体"/>
          <w:sz w:val="24"/>
        </w:rPr>
      </w:pPr>
      <w:bookmarkStart w:id="514" w:name="_Toc20126"/>
      <w:bookmarkStart w:id="515" w:name="_Toc10806"/>
      <w:bookmarkStart w:id="516" w:name="_Toc2261"/>
      <w:bookmarkStart w:id="517" w:name="_Toc2320"/>
      <w:bookmarkStart w:id="518" w:name="_Toc725"/>
      <w:bookmarkStart w:id="519" w:name="_Toc3349"/>
      <w:bookmarkStart w:id="520" w:name="_Toc5457"/>
      <w:bookmarkStart w:id="521" w:name="_Toc26042"/>
      <w:r>
        <w:rPr>
          <w:rFonts w:hint="eastAsia" w:ascii="宋体" w:hAnsi="宋体" w:cs="宋体"/>
          <w:sz w:val="24"/>
        </w:rPr>
        <w:t>21.1  若承包人不能按以下要求及时办理支付民工工资措施，发包人有权直接从承包人工程款中扣付：</w:t>
      </w:r>
      <w:bookmarkEnd w:id="514"/>
      <w:bookmarkEnd w:id="515"/>
      <w:bookmarkEnd w:id="516"/>
      <w:bookmarkEnd w:id="517"/>
      <w:bookmarkEnd w:id="518"/>
      <w:bookmarkEnd w:id="519"/>
      <w:bookmarkEnd w:id="520"/>
      <w:bookmarkEnd w:id="521"/>
      <w:r>
        <w:rPr>
          <w:rFonts w:hint="eastAsia" w:ascii="宋体" w:hAnsi="宋体" w:cs="宋体"/>
          <w:sz w:val="24"/>
        </w:rPr>
        <w:t xml:space="preserve">  </w:t>
      </w:r>
    </w:p>
    <w:p>
      <w:pPr>
        <w:pStyle w:val="101"/>
        <w:spacing w:line="460" w:lineRule="exact"/>
        <w:ind w:firstLine="480" w:firstLineChars="200"/>
        <w:rPr>
          <w:rFonts w:ascii="宋体" w:hAnsi="宋体" w:cs="宋体"/>
          <w:sz w:val="24"/>
        </w:rPr>
      </w:pPr>
      <w:r>
        <w:rPr>
          <w:rFonts w:hint="eastAsia" w:ascii="宋体" w:hAnsi="宋体" w:cs="宋体"/>
          <w:sz w:val="24"/>
        </w:rPr>
        <w:t xml:space="preserve">①承包人应与宜昌清欠机构签定“无拖欠保证书”，承诺无拖欠和无新的拖欠工资现象，并定期向清欠机构报送本单位工资支付情况，接受政府监督。 </w:t>
      </w:r>
    </w:p>
    <w:p>
      <w:pPr>
        <w:pStyle w:val="101"/>
        <w:spacing w:line="460" w:lineRule="exact"/>
        <w:ind w:firstLine="480" w:firstLineChars="200"/>
        <w:rPr>
          <w:rFonts w:ascii="宋体" w:hAnsi="宋体" w:cs="宋体"/>
          <w:sz w:val="24"/>
        </w:rPr>
      </w:pPr>
      <w:r>
        <w:rPr>
          <w:rFonts w:hint="eastAsia" w:ascii="宋体" w:hAnsi="宋体" w:cs="宋体"/>
          <w:sz w:val="24"/>
        </w:rPr>
        <w:t xml:space="preserve">②承包人应按照有关规定缴纳工资保障金，专户存入，用于垫付拖欠的民工工资。 </w:t>
      </w:r>
    </w:p>
    <w:p>
      <w:pPr>
        <w:pStyle w:val="101"/>
        <w:spacing w:line="460" w:lineRule="exact"/>
        <w:ind w:firstLine="480" w:firstLineChars="200"/>
        <w:rPr>
          <w:rFonts w:ascii="宋体" w:hAnsi="宋体" w:cs="宋体"/>
          <w:sz w:val="24"/>
        </w:rPr>
      </w:pPr>
      <w:r>
        <w:rPr>
          <w:rFonts w:hint="eastAsia" w:ascii="宋体" w:hAnsi="宋体" w:cs="宋体"/>
          <w:sz w:val="24"/>
        </w:rPr>
        <w:t>③农民工工伤保险已包含在投标报价中，由承包人根据现行相关规定缴纳并办理相关手续。</w:t>
      </w:r>
    </w:p>
    <w:p>
      <w:pPr>
        <w:pStyle w:val="101"/>
        <w:spacing w:line="460" w:lineRule="exact"/>
        <w:ind w:firstLine="480" w:firstLineChars="200"/>
        <w:outlineLvl w:val="0"/>
        <w:rPr>
          <w:rFonts w:ascii="宋体" w:hAnsi="宋体" w:cs="宋体"/>
          <w:sz w:val="24"/>
        </w:rPr>
      </w:pPr>
      <w:bookmarkStart w:id="522" w:name="_Toc7094"/>
      <w:bookmarkStart w:id="523" w:name="_Toc25110"/>
      <w:bookmarkStart w:id="524" w:name="_Toc5107"/>
      <w:bookmarkStart w:id="525" w:name="_Toc11608"/>
      <w:bookmarkStart w:id="526" w:name="_Toc25911"/>
      <w:bookmarkStart w:id="527" w:name="_Toc26760"/>
      <w:bookmarkStart w:id="528" w:name="_Toc22367"/>
      <w:bookmarkStart w:id="529" w:name="_Toc7526"/>
      <w:r>
        <w:rPr>
          <w:rFonts w:hint="eastAsia" w:ascii="宋体" w:hAnsi="宋体" w:cs="宋体"/>
          <w:sz w:val="24"/>
        </w:rPr>
        <w:t>21.2 项目管理机构人员名单</w:t>
      </w:r>
      <w:bookmarkEnd w:id="522"/>
      <w:bookmarkEnd w:id="523"/>
      <w:bookmarkEnd w:id="524"/>
      <w:bookmarkEnd w:id="525"/>
      <w:bookmarkEnd w:id="526"/>
      <w:bookmarkEnd w:id="527"/>
      <w:bookmarkEnd w:id="528"/>
      <w:bookmarkEnd w:id="529"/>
    </w:p>
    <w:p>
      <w:pPr>
        <w:pStyle w:val="101"/>
        <w:spacing w:line="460" w:lineRule="exact"/>
        <w:ind w:firstLine="480" w:firstLineChars="200"/>
        <w:rPr>
          <w:rFonts w:ascii="宋体" w:hAnsi="宋体" w:cs="宋体"/>
          <w:sz w:val="24"/>
        </w:rPr>
      </w:pPr>
      <w:r>
        <w:rPr>
          <w:rFonts w:hint="eastAsia" w:ascii="宋体" w:hAnsi="宋体" w:cs="宋体"/>
          <w:sz w:val="24"/>
        </w:rPr>
        <w:t>承包人必须按照投标文件中所做出的承诺，建立以项目负责人为首的现场管理机构</w:t>
      </w:r>
    </w:p>
    <w:p>
      <w:pPr>
        <w:pStyle w:val="101"/>
        <w:spacing w:line="460" w:lineRule="exact"/>
        <w:ind w:firstLine="420"/>
        <w:rPr>
          <w:rFonts w:ascii="宋体" w:hAnsi="宋体" w:cs="宋体"/>
          <w:sz w:val="24"/>
        </w:rPr>
      </w:pPr>
      <w:r>
        <w:rPr>
          <w:rFonts w:hint="eastAsia" w:ascii="宋体" w:hAnsi="宋体" w:cs="宋体"/>
          <w:sz w:val="24"/>
        </w:rPr>
        <w:t>21.3项目管理人员要求：</w:t>
      </w:r>
    </w:p>
    <w:tbl>
      <w:tblPr>
        <w:tblStyle w:val="37"/>
        <w:tblW w:w="8080" w:type="dxa"/>
        <w:tblInd w:w="959" w:type="dxa"/>
        <w:tblLayout w:type="fixed"/>
        <w:tblCellMar>
          <w:top w:w="0" w:type="dxa"/>
          <w:left w:w="108" w:type="dxa"/>
          <w:bottom w:w="0" w:type="dxa"/>
          <w:right w:w="108" w:type="dxa"/>
        </w:tblCellMar>
      </w:tblPr>
      <w:tblGrid>
        <w:gridCol w:w="709"/>
        <w:gridCol w:w="1417"/>
        <w:gridCol w:w="1559"/>
        <w:gridCol w:w="4395"/>
      </w:tblGrid>
      <w:tr>
        <w:tblPrEx>
          <w:tblCellMar>
            <w:top w:w="0" w:type="dxa"/>
            <w:left w:w="108" w:type="dxa"/>
            <w:bottom w:w="0" w:type="dxa"/>
            <w:right w:w="108" w:type="dxa"/>
          </w:tblCellMar>
        </w:tblPrEx>
        <w:trPr>
          <w:trHeight w:val="599" w:hRule="atLeast"/>
        </w:trPr>
        <w:tc>
          <w:tcPr>
            <w:tcW w:w="2126" w:type="dxa"/>
            <w:gridSpan w:val="2"/>
            <w:tcBorders>
              <w:top w:val="single" w:color="000000" w:sz="4" w:space="0"/>
              <w:left w:val="single" w:color="000000" w:sz="4" w:space="0"/>
              <w:bottom w:val="single" w:color="000000"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岗位</w:t>
            </w:r>
          </w:p>
        </w:tc>
        <w:tc>
          <w:tcPr>
            <w:tcW w:w="1559" w:type="dxa"/>
            <w:tcBorders>
              <w:top w:val="single" w:color="000000"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姓名</w:t>
            </w:r>
          </w:p>
        </w:tc>
        <w:tc>
          <w:tcPr>
            <w:tcW w:w="4395" w:type="dxa"/>
            <w:tcBorders>
              <w:top w:val="single" w:color="000000"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执（从）业证书编号及资质等级</w:t>
            </w:r>
          </w:p>
        </w:tc>
      </w:tr>
      <w:tr>
        <w:tblPrEx>
          <w:tblCellMar>
            <w:top w:w="0" w:type="dxa"/>
            <w:left w:w="108" w:type="dxa"/>
            <w:bottom w:w="0" w:type="dxa"/>
            <w:right w:w="108" w:type="dxa"/>
          </w:tblCellMar>
        </w:tblPrEx>
        <w:trPr>
          <w:trHeight w:val="761" w:hRule="atLeast"/>
        </w:trPr>
        <w:tc>
          <w:tcPr>
            <w:tcW w:w="2126" w:type="dxa"/>
            <w:gridSpan w:val="2"/>
            <w:tcBorders>
              <w:top w:val="single" w:color="000000" w:sz="4" w:space="0"/>
              <w:left w:val="single" w:color="000000" w:sz="4" w:space="0"/>
              <w:bottom w:val="single" w:color="000000"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项目负责人</w:t>
            </w:r>
          </w:p>
        </w:tc>
        <w:tc>
          <w:tcPr>
            <w:tcW w:w="1559" w:type="dxa"/>
            <w:tcBorders>
              <w:top w:val="single" w:color="000000"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p>
        </w:tc>
        <w:tc>
          <w:tcPr>
            <w:tcW w:w="4395" w:type="dxa"/>
            <w:tcBorders>
              <w:top w:val="single" w:color="000000"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p>
        </w:tc>
      </w:tr>
      <w:tr>
        <w:tblPrEx>
          <w:tblCellMar>
            <w:top w:w="0" w:type="dxa"/>
            <w:left w:w="108" w:type="dxa"/>
            <w:bottom w:w="0" w:type="dxa"/>
            <w:right w:w="108" w:type="dxa"/>
          </w:tblCellMar>
        </w:tblPrEx>
        <w:trPr>
          <w:trHeight w:val="840" w:hRule="atLeast"/>
        </w:trPr>
        <w:tc>
          <w:tcPr>
            <w:tcW w:w="709" w:type="dxa"/>
            <w:vMerge w:val="restart"/>
            <w:tcBorders>
              <w:top w:val="nil"/>
              <w:left w:val="single" w:color="000000" w:sz="4" w:space="0"/>
              <w:bottom w:val="single" w:color="auto"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其</w:t>
            </w:r>
          </w:p>
          <w:p>
            <w:pPr>
              <w:pStyle w:val="101"/>
              <w:spacing w:line="460" w:lineRule="exact"/>
              <w:jc w:val="center"/>
              <w:rPr>
                <w:rFonts w:ascii="宋体" w:hAnsi="宋体" w:cs="宋体"/>
                <w:sz w:val="24"/>
              </w:rPr>
            </w:pPr>
            <w:r>
              <w:rPr>
                <w:rFonts w:hint="eastAsia" w:ascii="宋体" w:hAnsi="宋体" w:cs="宋体"/>
                <w:sz w:val="24"/>
              </w:rPr>
              <w:t>他</w:t>
            </w:r>
          </w:p>
          <w:p>
            <w:pPr>
              <w:pStyle w:val="101"/>
              <w:spacing w:line="460" w:lineRule="exact"/>
              <w:jc w:val="center"/>
              <w:rPr>
                <w:rFonts w:ascii="宋体" w:hAnsi="宋体" w:cs="宋体"/>
                <w:sz w:val="24"/>
              </w:rPr>
            </w:pPr>
            <w:r>
              <w:rPr>
                <w:rFonts w:hint="eastAsia" w:ascii="宋体" w:hAnsi="宋体" w:cs="宋体"/>
                <w:sz w:val="24"/>
              </w:rPr>
              <w:t>管</w:t>
            </w:r>
          </w:p>
          <w:p>
            <w:pPr>
              <w:pStyle w:val="101"/>
              <w:spacing w:line="460" w:lineRule="exact"/>
              <w:jc w:val="center"/>
              <w:rPr>
                <w:rFonts w:ascii="宋体" w:hAnsi="宋体" w:cs="宋体"/>
                <w:sz w:val="24"/>
              </w:rPr>
            </w:pPr>
            <w:r>
              <w:rPr>
                <w:rFonts w:hint="eastAsia" w:ascii="宋体" w:hAnsi="宋体" w:cs="宋体"/>
                <w:sz w:val="24"/>
              </w:rPr>
              <w:t>理</w:t>
            </w:r>
          </w:p>
          <w:p>
            <w:pPr>
              <w:pStyle w:val="101"/>
              <w:spacing w:line="460" w:lineRule="exact"/>
              <w:jc w:val="center"/>
              <w:rPr>
                <w:rFonts w:ascii="宋体" w:hAnsi="宋体" w:cs="宋体"/>
                <w:sz w:val="24"/>
              </w:rPr>
            </w:pPr>
            <w:r>
              <w:rPr>
                <w:rFonts w:hint="eastAsia" w:ascii="宋体" w:hAnsi="宋体" w:cs="宋体"/>
                <w:sz w:val="24"/>
              </w:rPr>
              <w:t>人</w:t>
            </w:r>
          </w:p>
          <w:p>
            <w:pPr>
              <w:pStyle w:val="101"/>
              <w:spacing w:line="460" w:lineRule="exact"/>
              <w:jc w:val="center"/>
              <w:rPr>
                <w:rFonts w:ascii="宋体" w:hAnsi="宋体" w:cs="宋体"/>
                <w:sz w:val="24"/>
              </w:rPr>
            </w:pPr>
            <w:r>
              <w:rPr>
                <w:rFonts w:hint="eastAsia" w:ascii="宋体" w:hAnsi="宋体" w:cs="宋体"/>
                <w:sz w:val="24"/>
              </w:rPr>
              <w:t>员</w:t>
            </w:r>
          </w:p>
        </w:tc>
        <w:tc>
          <w:tcPr>
            <w:tcW w:w="1417" w:type="dxa"/>
            <w:tcBorders>
              <w:top w:val="single" w:color="000000"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技术负责人</w:t>
            </w:r>
          </w:p>
        </w:tc>
        <w:tc>
          <w:tcPr>
            <w:tcW w:w="1559" w:type="dxa"/>
            <w:tcBorders>
              <w:top w:val="single" w:color="000000"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p>
        </w:tc>
        <w:tc>
          <w:tcPr>
            <w:tcW w:w="4395" w:type="dxa"/>
            <w:tcBorders>
              <w:top w:val="single" w:color="000000"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p>
        </w:tc>
      </w:tr>
      <w:tr>
        <w:tblPrEx>
          <w:tblCellMar>
            <w:top w:w="0" w:type="dxa"/>
            <w:left w:w="108" w:type="dxa"/>
            <w:bottom w:w="0" w:type="dxa"/>
            <w:right w:w="108" w:type="dxa"/>
          </w:tblCellMar>
        </w:tblPrEx>
        <w:trPr>
          <w:trHeight w:val="707" w:hRule="atLeast"/>
        </w:trPr>
        <w:tc>
          <w:tcPr>
            <w:tcW w:w="709" w:type="dxa"/>
            <w:vMerge w:val="continue"/>
            <w:tcBorders>
              <w:top w:val="nil"/>
              <w:left w:val="single" w:color="000000" w:sz="4" w:space="0"/>
              <w:bottom w:val="single" w:color="auto" w:sz="4" w:space="0"/>
              <w:right w:val="single" w:color="000000" w:sz="4" w:space="0"/>
            </w:tcBorders>
            <w:vAlign w:val="center"/>
          </w:tcPr>
          <w:p>
            <w:pPr>
              <w:pStyle w:val="101"/>
              <w:spacing w:line="460" w:lineRule="exact"/>
              <w:rPr>
                <w:rFonts w:ascii="宋体" w:hAnsi="宋体" w:cs="宋体"/>
                <w:sz w:val="24"/>
              </w:rPr>
            </w:pPr>
          </w:p>
        </w:tc>
        <w:tc>
          <w:tcPr>
            <w:tcW w:w="1417" w:type="dxa"/>
            <w:tcBorders>
              <w:top w:val="single" w:color="000000" w:sz="4" w:space="0"/>
              <w:left w:val="nil"/>
              <w:bottom w:val="single" w:color="auto"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施工员</w:t>
            </w:r>
          </w:p>
        </w:tc>
        <w:tc>
          <w:tcPr>
            <w:tcW w:w="1559" w:type="dxa"/>
            <w:tcBorders>
              <w:top w:val="single" w:color="000000" w:sz="4" w:space="0"/>
              <w:left w:val="nil"/>
              <w:bottom w:val="single" w:color="auto" w:sz="4" w:space="0"/>
              <w:right w:val="single" w:color="000000" w:sz="4" w:space="0"/>
            </w:tcBorders>
            <w:vAlign w:val="center"/>
          </w:tcPr>
          <w:p>
            <w:pPr>
              <w:pStyle w:val="101"/>
              <w:spacing w:line="460" w:lineRule="exact"/>
              <w:jc w:val="center"/>
              <w:rPr>
                <w:rFonts w:ascii="宋体" w:hAnsi="宋体" w:cs="宋体"/>
                <w:sz w:val="24"/>
              </w:rPr>
            </w:pPr>
          </w:p>
        </w:tc>
        <w:tc>
          <w:tcPr>
            <w:tcW w:w="4395" w:type="dxa"/>
            <w:tcBorders>
              <w:top w:val="single" w:color="000000" w:sz="4" w:space="0"/>
              <w:left w:val="nil"/>
              <w:bottom w:val="single" w:color="auto" w:sz="4" w:space="0"/>
              <w:right w:val="single" w:color="000000" w:sz="4" w:space="0"/>
            </w:tcBorders>
            <w:vAlign w:val="center"/>
          </w:tcPr>
          <w:p>
            <w:pPr>
              <w:pStyle w:val="101"/>
              <w:spacing w:line="460" w:lineRule="exact"/>
              <w:jc w:val="center"/>
              <w:rPr>
                <w:rFonts w:ascii="宋体" w:hAnsi="宋体" w:cs="宋体"/>
                <w:sz w:val="24"/>
              </w:rPr>
            </w:pPr>
          </w:p>
        </w:tc>
      </w:tr>
      <w:tr>
        <w:tblPrEx>
          <w:tblCellMar>
            <w:top w:w="0" w:type="dxa"/>
            <w:left w:w="108" w:type="dxa"/>
            <w:bottom w:w="0" w:type="dxa"/>
            <w:right w:w="108" w:type="dxa"/>
          </w:tblCellMar>
        </w:tblPrEx>
        <w:trPr>
          <w:trHeight w:val="836" w:hRule="atLeast"/>
        </w:trPr>
        <w:tc>
          <w:tcPr>
            <w:tcW w:w="709" w:type="dxa"/>
            <w:vMerge w:val="continue"/>
            <w:tcBorders>
              <w:top w:val="nil"/>
              <w:left w:val="single" w:color="000000" w:sz="4" w:space="0"/>
              <w:bottom w:val="single" w:color="auto" w:sz="4" w:space="0"/>
              <w:right w:val="single" w:color="000000" w:sz="4" w:space="0"/>
            </w:tcBorders>
            <w:vAlign w:val="center"/>
          </w:tcPr>
          <w:p>
            <w:pPr>
              <w:pStyle w:val="101"/>
              <w:spacing w:line="460" w:lineRule="exact"/>
              <w:rPr>
                <w:rFonts w:ascii="宋体" w:hAnsi="宋体" w:cs="宋体"/>
                <w:sz w:val="24"/>
              </w:rPr>
            </w:pPr>
          </w:p>
        </w:tc>
        <w:tc>
          <w:tcPr>
            <w:tcW w:w="1417" w:type="dxa"/>
            <w:tcBorders>
              <w:top w:val="single" w:color="auto"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安全员</w:t>
            </w:r>
          </w:p>
        </w:tc>
        <w:tc>
          <w:tcPr>
            <w:tcW w:w="1559" w:type="dxa"/>
            <w:tcBorders>
              <w:top w:val="single" w:color="auto"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p>
        </w:tc>
        <w:tc>
          <w:tcPr>
            <w:tcW w:w="4395" w:type="dxa"/>
            <w:tcBorders>
              <w:top w:val="single" w:color="auto"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p>
        </w:tc>
      </w:tr>
      <w:tr>
        <w:tblPrEx>
          <w:tblCellMar>
            <w:top w:w="0" w:type="dxa"/>
            <w:left w:w="108" w:type="dxa"/>
            <w:bottom w:w="0" w:type="dxa"/>
            <w:right w:w="108" w:type="dxa"/>
          </w:tblCellMar>
        </w:tblPrEx>
        <w:trPr>
          <w:trHeight w:val="703" w:hRule="atLeast"/>
        </w:trPr>
        <w:tc>
          <w:tcPr>
            <w:tcW w:w="709" w:type="dxa"/>
            <w:vMerge w:val="continue"/>
            <w:tcBorders>
              <w:top w:val="nil"/>
              <w:left w:val="single" w:color="000000" w:sz="4" w:space="0"/>
              <w:bottom w:val="single" w:color="auto" w:sz="4" w:space="0"/>
              <w:right w:val="single" w:color="000000" w:sz="4" w:space="0"/>
            </w:tcBorders>
            <w:vAlign w:val="center"/>
          </w:tcPr>
          <w:p>
            <w:pPr>
              <w:pStyle w:val="101"/>
              <w:spacing w:line="460" w:lineRule="exact"/>
              <w:rPr>
                <w:rFonts w:ascii="宋体" w:hAnsi="宋体" w:cs="宋体"/>
                <w:sz w:val="24"/>
              </w:rPr>
            </w:pPr>
          </w:p>
        </w:tc>
        <w:tc>
          <w:tcPr>
            <w:tcW w:w="1417" w:type="dxa"/>
            <w:tcBorders>
              <w:top w:val="single" w:color="auto"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r>
              <w:rPr>
                <w:rFonts w:hint="eastAsia" w:ascii="宋体" w:hAnsi="宋体" w:cs="宋体"/>
                <w:sz w:val="24"/>
              </w:rPr>
              <w:t>质检员（质量员）</w:t>
            </w:r>
          </w:p>
        </w:tc>
        <w:tc>
          <w:tcPr>
            <w:tcW w:w="1559" w:type="dxa"/>
            <w:tcBorders>
              <w:top w:val="single" w:color="auto"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p>
        </w:tc>
        <w:tc>
          <w:tcPr>
            <w:tcW w:w="4395" w:type="dxa"/>
            <w:tcBorders>
              <w:top w:val="single" w:color="auto" w:sz="4" w:space="0"/>
              <w:left w:val="nil"/>
              <w:bottom w:val="single" w:color="000000" w:sz="4" w:space="0"/>
              <w:right w:val="single" w:color="000000" w:sz="4" w:space="0"/>
            </w:tcBorders>
            <w:vAlign w:val="center"/>
          </w:tcPr>
          <w:p>
            <w:pPr>
              <w:pStyle w:val="101"/>
              <w:spacing w:line="460" w:lineRule="exact"/>
              <w:jc w:val="center"/>
              <w:rPr>
                <w:rFonts w:ascii="宋体" w:hAnsi="宋体" w:cs="宋体"/>
                <w:sz w:val="24"/>
              </w:rPr>
            </w:pPr>
          </w:p>
        </w:tc>
      </w:tr>
    </w:tbl>
    <w:p>
      <w:pPr>
        <w:pStyle w:val="101"/>
        <w:spacing w:line="460" w:lineRule="exact"/>
        <w:ind w:firstLine="480" w:firstLineChars="200"/>
        <w:rPr>
          <w:rFonts w:ascii="宋体" w:hAnsi="宋体" w:cs="宋体"/>
          <w:sz w:val="24"/>
        </w:rPr>
      </w:pPr>
      <w:r>
        <w:rPr>
          <w:rFonts w:hint="eastAsia" w:ascii="宋体" w:hAnsi="宋体" w:cs="宋体"/>
          <w:sz w:val="24"/>
        </w:rPr>
        <w:t xml:space="preserve">(1)承包人必须按照投标文件中所做出的承诺，建立以项目负责人为首的现场管理机构。 </w:t>
      </w:r>
    </w:p>
    <w:p>
      <w:pPr>
        <w:pStyle w:val="101"/>
        <w:spacing w:line="460" w:lineRule="exact"/>
        <w:ind w:firstLine="480" w:firstLineChars="200"/>
        <w:rPr>
          <w:rFonts w:ascii="宋体" w:hAnsi="宋体" w:cs="宋体"/>
          <w:sz w:val="24"/>
        </w:rPr>
      </w:pPr>
      <w:r>
        <w:rPr>
          <w:rFonts w:hint="eastAsia" w:ascii="宋体" w:hAnsi="宋体" w:cs="宋体"/>
          <w:sz w:val="24"/>
        </w:rPr>
        <w:t xml:space="preserve">(2)由发包人组织的工程会议或监理组织的每周工地例会，项目负责人和技术负责人必须出席（经发包人批准除外），每缺席一次按 1000元/人、每迟到一次按500元/人进行处罚，若发包人通知承包人纠正，承包人拒绝或超过 48小时未纠正的，发包人有权加重处罚按2000-5000元/次或单方解除合同，造成的一切损失由承包人承担。 </w:t>
      </w:r>
    </w:p>
    <w:p>
      <w:pPr>
        <w:pStyle w:val="101"/>
        <w:spacing w:line="460" w:lineRule="exact"/>
        <w:ind w:firstLine="480" w:firstLineChars="200"/>
        <w:rPr>
          <w:rFonts w:ascii="宋体" w:hAnsi="宋体" w:cs="宋体"/>
          <w:sz w:val="24"/>
        </w:rPr>
      </w:pPr>
      <w:r>
        <w:rPr>
          <w:rFonts w:hint="eastAsia" w:ascii="宋体" w:hAnsi="宋体" w:cs="宋体"/>
          <w:sz w:val="24"/>
        </w:rPr>
        <w:t xml:space="preserve">(3)在施工期间，承包人项目负责人、技术负责人、其他技术人员必须按投标承诺全部到位；缺员、擅自离开、更换的，均按专用条款第 3 款规定处理。  </w:t>
      </w:r>
    </w:p>
    <w:p>
      <w:pPr>
        <w:pStyle w:val="101"/>
        <w:spacing w:line="460" w:lineRule="exact"/>
        <w:ind w:firstLine="480" w:firstLineChars="200"/>
        <w:rPr>
          <w:rFonts w:ascii="宋体" w:hAnsi="宋体" w:cs="宋体"/>
          <w:sz w:val="24"/>
        </w:rPr>
      </w:pPr>
      <w:r>
        <w:rPr>
          <w:rFonts w:hint="eastAsia" w:ascii="宋体" w:hAnsi="宋体" w:cs="宋体"/>
          <w:sz w:val="24"/>
        </w:rPr>
        <w:t xml:space="preserve">(4)若项目负责人或技术负责人的实际工作能力和工作表现不适应现场工作需要，发包人有权向承包人提出撤换。承包人可以提出整改意见，如发包人不予接受，则承包人须在 7天内无条件撤换，所调换人员的资质、资历、学历、职称、业绩、实际工作能力不得低于原投标书中所承诺人员的综合素质，且每发生一人次更换，承包人向发包人支付贰万元的违约金。  </w:t>
      </w:r>
    </w:p>
    <w:p>
      <w:pPr>
        <w:pStyle w:val="101"/>
        <w:spacing w:line="460" w:lineRule="exact"/>
        <w:ind w:firstLine="480" w:firstLineChars="200"/>
        <w:rPr>
          <w:rFonts w:ascii="宋体" w:hAnsi="宋体" w:cs="宋体"/>
          <w:sz w:val="24"/>
        </w:rPr>
      </w:pPr>
      <w:r>
        <w:rPr>
          <w:rFonts w:hint="eastAsia" w:ascii="宋体" w:hAnsi="宋体" w:cs="宋体"/>
          <w:sz w:val="24"/>
        </w:rPr>
        <w:t>(5)在施工期间，承包人项目负责人、技术负责人、其他技术人员必须按投标承诺全部到位；其他各类人员每月出勤率必须达到 95% 以上。达不到要求的，发包人有权按缺员人数予以2000-5000元/次进行处罚。若其每月出勤率低于50%视同人员发生更换，按更换项目负责人、技术负责人、其他技术人员的相应处罚条款进行处罚。</w:t>
      </w:r>
    </w:p>
    <w:p>
      <w:pPr>
        <w:pStyle w:val="101"/>
        <w:spacing w:line="460" w:lineRule="exact"/>
        <w:ind w:firstLine="480" w:firstLineChars="200"/>
        <w:rPr>
          <w:rFonts w:ascii="宋体" w:hAnsi="宋体" w:cs="宋体"/>
          <w:sz w:val="24"/>
        </w:rPr>
      </w:pPr>
      <w:r>
        <w:rPr>
          <w:rFonts w:hint="eastAsia" w:ascii="宋体" w:hAnsi="宋体" w:cs="宋体"/>
          <w:sz w:val="24"/>
        </w:rPr>
        <w:t>(6)若项目负责人或技术负责人的实际工作能力和工作表现不适应现场工作 需要，发包人有权向承包人提出撤换。承包人可以提出整改意见，如发包人不予接受，则承包人须在7天内无条件撤换，所调换人员的资质、资历、学历、职称、 业绩、实际工作能力不得低于原投标书中所承诺人员的综合素质，且每发生一人次更换，承包人向发包人支付壹万元的违约金。</w:t>
      </w:r>
    </w:p>
    <w:p>
      <w:pPr>
        <w:pStyle w:val="101"/>
        <w:spacing w:line="460" w:lineRule="exact"/>
        <w:ind w:firstLine="480" w:firstLineChars="200"/>
        <w:rPr>
          <w:rFonts w:ascii="宋体" w:hAnsi="宋体" w:cs="宋体"/>
          <w:sz w:val="24"/>
        </w:rPr>
      </w:pPr>
      <w:r>
        <w:rPr>
          <w:rFonts w:hint="eastAsia" w:ascii="宋体" w:hAnsi="宋体" w:cs="宋体"/>
          <w:sz w:val="24"/>
        </w:rPr>
        <w:t>(7)工程竣工结算时，项目管理人员的罚金从工程结算款中扣除。</w:t>
      </w:r>
    </w:p>
    <w:p>
      <w:pPr>
        <w:pStyle w:val="101"/>
        <w:spacing w:line="460" w:lineRule="exact"/>
        <w:ind w:firstLine="480" w:firstLineChars="200"/>
        <w:outlineLvl w:val="0"/>
        <w:rPr>
          <w:rFonts w:ascii="宋体" w:hAnsi="宋体" w:cs="宋体"/>
          <w:sz w:val="24"/>
        </w:rPr>
      </w:pPr>
      <w:bookmarkStart w:id="530" w:name="_Toc14805"/>
      <w:bookmarkStart w:id="531" w:name="_Toc16662"/>
      <w:bookmarkStart w:id="532" w:name="_Toc26976"/>
      <w:bookmarkStart w:id="533" w:name="_Toc32150"/>
      <w:bookmarkStart w:id="534" w:name="_Toc18151"/>
      <w:bookmarkStart w:id="535" w:name="_Toc31639"/>
      <w:bookmarkStart w:id="536" w:name="_Toc25455"/>
      <w:bookmarkStart w:id="537" w:name="_Toc11359"/>
      <w:r>
        <w:rPr>
          <w:rFonts w:hint="eastAsia" w:ascii="宋体" w:hAnsi="宋体" w:cs="宋体"/>
          <w:sz w:val="24"/>
        </w:rPr>
        <w:t>21.4其他</w:t>
      </w:r>
      <w:bookmarkEnd w:id="530"/>
      <w:bookmarkEnd w:id="531"/>
      <w:bookmarkEnd w:id="532"/>
      <w:bookmarkEnd w:id="533"/>
      <w:bookmarkEnd w:id="534"/>
      <w:bookmarkEnd w:id="535"/>
      <w:bookmarkEnd w:id="536"/>
      <w:bookmarkEnd w:id="537"/>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1）承包人未经发包人许可将本工程转让、转包、分包，发包人除处以10万元罚款外，发包人可单方解除合同，造成的损失由承包人赔偿；合同解除后，承包人没有按照发包人通知的时间和要求自费将机械设备和人员撤出施工场地的，每延迟一天，应赔偿发包人损失1万元人民币；</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2）工程量清单报价中所有单价与合价应包含但不限于《建设工程工程量清单计价规范》中项目编码所对应的工程内容以及分部分项工程量清单中项目特征描述的和备注的所有包含的内容，包括了所有施工设备费、设施费、劳务费、材料费、检验试验费、安装费、管理费、利润以及合同明示暗示的所有一切风险、责任和义务等一切费用，同时为完成该项目所必需发生的工作内容和相关费用也应包含在报价中。并应综合考虑材料或构件场内外运输及损耗、周边场地条件等施工中各种不利因素导致的降效损失、二次运输等增加的费用、弃物的场内外运输、建筑垃圾处置费（包括环卫部门收取的建筑渣土处置费、施工期间道路污染清扫费）等费用。</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3）承包人必须严格执行审批认可的施工方案和进度安排。若签订施工合同后，施工中出现实际进度比经发包人及监理审批认可的施工方案中阶段性计划进度滞后20天的情况，发包人有权提请市招标委员会对此延误进行审查，若其认为主要责任在承包人，则发包人有权单方面中止该施工合同，并提请招标委员会重新确定施工单位；或因承包人的机械设备、材料、劳动力投入明显不能满足施工进度要求，且没有采取积极有效的赶工措施，导致经发包人及监理认可的阶段性进度计划延误达到10日以上，发包人与监理工程师商议后可以无条件地将部分工程量分割给其它施工单位施工，其结算单价按承包人对应投标单价的1.5倍计算，由发包人直接从原中标单位工程款中扣除并支付给其他施工单位，但其施工质量及竣工资料仍由承包人统一负责；同时还将对其作为严重违约的不良行为向建设行政主管部门通报，发包人在其以后工程招标中，承包人的此项不良记录将予以扣分。</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 xml:space="preserve">（4）本工程所有弃方运距(外运)、回填土的场内外运输由承包人自行确定，其费用己在报价中予以考虑。 </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（5）工程结算经审计单位审核，审减额超过送审值5%以上部分的审计费用由承包人支付。</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（6）本工程砼不允许现场搅拌。承包人在施工过程中必须是商品砼，否则除承担返工责任及建筑安全监督管理机构的处罚外，每发生一次还需向发包人支付违约金5000元。</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（7）在工程施工过程中，承包人应配合并积极参与发包人组织的质量安全评比活动。</w:t>
      </w:r>
    </w:p>
    <w:p>
      <w:pPr>
        <w:pStyle w:val="101"/>
        <w:spacing w:line="460" w:lineRule="exact"/>
        <w:ind w:firstLine="480" w:firstLineChars="200"/>
        <w:jc w:val="left"/>
        <w:rPr>
          <w:rFonts w:ascii="宋体" w:hAnsi="宋体" w:cs="宋体"/>
          <w:sz w:val="24"/>
          <w:highlight w:val="yellow"/>
          <w:u w:val="single"/>
        </w:rPr>
      </w:pPr>
      <w:r>
        <w:rPr>
          <w:rFonts w:hint="eastAsia" w:ascii="宋体" w:hAnsi="宋体" w:cs="宋体"/>
          <w:sz w:val="24"/>
          <w:u w:val="single"/>
        </w:rPr>
        <w:t>（8）本工程所有签证、档案等相关资料，必须全部加盖湖北宜昌长江三峡游轮中心开发有限公司的公章方可生效。</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（9）本工程经审批的施工方案等资料仅作为约束双方施工的依据，资料中涉及增加费用需办理签证予以确认方能并入结算。</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（10）与本工程相关的备忘录、承诺书等作为合同的附件，与本合同具有同等法律效力。</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（11）当通用条款与专用条款相抵触时，以专用条款为准；当专用条款未约定时，以合同文件解释顺序为准。</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（12）承包人应做好主体及其他现场已完工工程的保护工作，若因交叉作业损坏主体及现场已完工工程的（半）成品的，由承包人负责恢复，工期不得顺延。</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（13）承包人根据自身已确认的进度安排施工，主动协调交接工作，不因外界或其他原因影响自身的进度安排。</w:t>
      </w:r>
    </w:p>
    <w:p>
      <w:pPr>
        <w:pStyle w:val="101"/>
        <w:spacing w:line="460" w:lineRule="exact"/>
        <w:ind w:firstLine="480" w:firstLineChars="200"/>
        <w:jc w:val="left"/>
        <w:rPr>
          <w:rFonts w:ascii="宋体" w:hAnsi="宋体" w:cs="宋体"/>
          <w:sz w:val="24"/>
          <w:u w:val="single"/>
        </w:rPr>
      </w:pPr>
      <w:r>
        <w:rPr>
          <w:rFonts w:hint="eastAsia" w:ascii="宋体" w:hAnsi="宋体" w:cs="宋体"/>
          <w:sz w:val="24"/>
          <w:u w:val="single"/>
        </w:rPr>
        <w:t>（14）承包方无条件服从因发包人施工总体安排而发生的清单内增减调整，不服从视同违约。</w:t>
      </w:r>
    </w:p>
    <w:p>
      <w:pPr>
        <w:pStyle w:val="126"/>
        <w:spacing w:line="460" w:lineRule="exact"/>
        <w:ind w:firstLine="480" w:firstLineChars="200"/>
        <w:jc w:val="left"/>
        <w:rPr>
          <w:rFonts w:cs="宋体"/>
          <w:sz w:val="24"/>
          <w:szCs w:val="24"/>
          <w:u w:val="single"/>
        </w:rPr>
      </w:pPr>
      <w:r>
        <w:rPr>
          <w:rFonts w:hint="eastAsia" w:cs="宋体"/>
          <w:sz w:val="24"/>
          <w:szCs w:val="24"/>
          <w:u w:val="single"/>
        </w:rPr>
        <w:t xml:space="preserve">（15）施工扬尘污染防治措施需符合《市住建委 市环保局市城管局关于印发&lt;宜昌市建设工程施工现场扬尘污染防治管理办法&gt;的通知》（宜市住建〔2014〕119号）、《市住建委关于进一步加强区建筑施工扬尘管控的通知》（宜市住建文〔2017〕100号）和市住建委关于印发《2018年宜昌市建筑施工扬尘防治工作方案》的通知（宜市住建文〔2018〕15号）要求及标准，结合工程特点，按《市住建委关于转发2018版&lt;湖北省房屋建筑与装饰工程消耗量定额及全费用基价表&gt;等定额的通知》（宜市住建文〔2018〕44号）、《市住建委关于调整我市城区房屋建筑和市政基础设施工程施工现场扬尘污染防治增加费的通知》（宜市住建文〔2018〕52号）、《关于调整我省现行建设工程计价依据定额人工单价的通知》（鄂建办〔2020〕42号）要求执行，本工程施工扬尘污染防治措施费由承包人自行确定，其费用已在投标报价中予以考虑。 </w:t>
      </w:r>
    </w:p>
    <w:p>
      <w:pPr>
        <w:pStyle w:val="126"/>
        <w:spacing w:line="460" w:lineRule="exact"/>
        <w:ind w:firstLine="480" w:firstLineChars="200"/>
        <w:jc w:val="left"/>
        <w:rPr>
          <w:rFonts w:cs="宋体"/>
          <w:sz w:val="24"/>
          <w:szCs w:val="24"/>
          <w:u w:val="single"/>
        </w:rPr>
      </w:pPr>
      <w:r>
        <w:rPr>
          <w:rFonts w:hint="eastAsia" w:cs="宋体"/>
          <w:sz w:val="24"/>
          <w:szCs w:val="24"/>
          <w:u w:val="single"/>
        </w:rPr>
        <w:t>（16）排水、降水措施费包括但不限于施工时发生的地下水、雨水、污水等应根据地质资料及现场实际情况综合考虑。</w:t>
      </w:r>
    </w:p>
    <w:p>
      <w:pPr>
        <w:pStyle w:val="126"/>
        <w:spacing w:line="460" w:lineRule="exact"/>
        <w:ind w:firstLine="480" w:firstLineChars="200"/>
        <w:jc w:val="left"/>
        <w:rPr>
          <w:rFonts w:cs="宋体"/>
          <w:sz w:val="24"/>
          <w:szCs w:val="24"/>
          <w:u w:val="single"/>
        </w:rPr>
      </w:pPr>
      <w:r>
        <w:rPr>
          <w:rFonts w:hint="eastAsia" w:cs="宋体"/>
          <w:sz w:val="24"/>
          <w:szCs w:val="24"/>
          <w:u w:val="single"/>
        </w:rPr>
        <w:t>（17）投标人应综合考虑材料或构件场内外运输及损耗、周边场地条件等施工中各种不利因素导致的降效损失、二次运输等增加的费用、弃物的场内外运输、建筑垃圾处置费（包括环卫部门收取的建筑渣土处置费、施工期间道路污染清扫费）等费用，同时已充分考虑工期紧、任务重、材料上涨、人工费上涨等风险，以及有可能 24 小时施工、服从发包人的工作安排等因素。</w:t>
      </w:r>
    </w:p>
    <w:p>
      <w:pPr>
        <w:pStyle w:val="126"/>
        <w:spacing w:line="460" w:lineRule="exact"/>
        <w:ind w:firstLine="480" w:firstLineChars="200"/>
        <w:jc w:val="left"/>
        <w:rPr>
          <w:rFonts w:cs="宋体"/>
          <w:sz w:val="24"/>
          <w:szCs w:val="24"/>
          <w:u w:val="single"/>
        </w:rPr>
      </w:pPr>
      <w:r>
        <w:rPr>
          <w:rFonts w:hint="eastAsia" w:cs="宋体"/>
          <w:sz w:val="24"/>
          <w:szCs w:val="24"/>
          <w:u w:val="single"/>
        </w:rPr>
        <w:t>（18）投标人应自行踏勘现场，项目施工范围内若有高压线，投标人报价时须充分考虑周边施工难度、措施保护费用及电力设施保护费用等，投标人需严格执行电力设施保护相关规定。</w:t>
      </w:r>
    </w:p>
    <w:p>
      <w:pPr>
        <w:pStyle w:val="126"/>
        <w:spacing w:line="460" w:lineRule="exact"/>
        <w:ind w:firstLine="480" w:firstLineChars="200"/>
        <w:jc w:val="left"/>
        <w:rPr>
          <w:rFonts w:cs="宋体"/>
          <w:sz w:val="24"/>
          <w:szCs w:val="24"/>
          <w:u w:val="single"/>
        </w:rPr>
      </w:pPr>
      <w:r>
        <w:rPr>
          <w:rFonts w:hint="eastAsia" w:cs="宋体"/>
          <w:sz w:val="24"/>
          <w:szCs w:val="24"/>
          <w:u w:val="single"/>
        </w:rPr>
        <w:t>（19）承包人需向发包人开具增值税专用发票（一般计税方法），并按发包人要求工程款支付金额出具税务发票。</w:t>
      </w:r>
    </w:p>
    <w:p>
      <w:pPr>
        <w:pStyle w:val="126"/>
        <w:spacing w:line="460" w:lineRule="exact"/>
        <w:ind w:firstLine="480" w:firstLineChars="200"/>
        <w:jc w:val="left"/>
        <w:rPr>
          <w:rFonts w:cs="宋体"/>
          <w:sz w:val="24"/>
          <w:szCs w:val="24"/>
          <w:u w:val="single"/>
        </w:rPr>
      </w:pPr>
      <w:r>
        <w:rPr>
          <w:rFonts w:hint="eastAsia" w:cs="宋体"/>
          <w:sz w:val="24"/>
          <w:szCs w:val="24"/>
          <w:u w:val="single"/>
        </w:rPr>
        <w:t>（20）当通用条款与专用条款相抵触时，以专用条款为准；当专用条款未约定时，以合同文件解释顺序为准。</w:t>
      </w:r>
    </w:p>
    <w:p>
      <w:pPr>
        <w:pStyle w:val="126"/>
        <w:spacing w:line="460" w:lineRule="exact"/>
        <w:ind w:firstLine="480" w:firstLineChars="200"/>
        <w:jc w:val="left"/>
        <w:rPr>
          <w:rFonts w:cs="宋体"/>
          <w:sz w:val="24"/>
          <w:szCs w:val="24"/>
          <w:u w:val="single"/>
        </w:rPr>
      </w:pPr>
      <w:r>
        <w:rPr>
          <w:rFonts w:hint="eastAsia" w:cs="宋体"/>
          <w:sz w:val="24"/>
          <w:szCs w:val="24"/>
          <w:u w:val="single"/>
        </w:rPr>
        <w:t>（21）其它若有与本合同条款不一致的,以本合同约定为准。</w:t>
      </w:r>
    </w:p>
    <w:p>
      <w:pPr>
        <w:pStyle w:val="105"/>
        <w:rPr>
          <w:rFonts w:cs="宋体"/>
          <w:b/>
          <w:kern w:val="0"/>
          <w:sz w:val="28"/>
          <w:szCs w:val="28"/>
        </w:rPr>
      </w:pPr>
    </w:p>
    <w:p>
      <w:pPr>
        <w:pStyle w:val="105"/>
        <w:rPr>
          <w:rFonts w:cs="宋体"/>
          <w:b/>
          <w:kern w:val="0"/>
          <w:sz w:val="28"/>
          <w:szCs w:val="28"/>
        </w:rPr>
      </w:pPr>
    </w:p>
    <w:p>
      <w:pPr>
        <w:pStyle w:val="105"/>
        <w:rPr>
          <w:rFonts w:cs="宋体"/>
          <w:b/>
          <w:kern w:val="0"/>
          <w:sz w:val="28"/>
          <w:szCs w:val="28"/>
        </w:rPr>
      </w:pPr>
    </w:p>
    <w:p>
      <w:pPr>
        <w:pStyle w:val="105"/>
        <w:rPr>
          <w:rFonts w:cs="宋体"/>
          <w:b/>
          <w:kern w:val="0"/>
          <w:sz w:val="28"/>
          <w:szCs w:val="28"/>
        </w:rPr>
      </w:pPr>
    </w:p>
    <w:p>
      <w:pPr>
        <w:pStyle w:val="105"/>
        <w:rPr>
          <w:rFonts w:cs="宋体"/>
          <w:b/>
          <w:kern w:val="0"/>
          <w:sz w:val="28"/>
          <w:szCs w:val="28"/>
        </w:rPr>
      </w:pPr>
    </w:p>
    <w:p>
      <w:pPr>
        <w:pStyle w:val="105"/>
        <w:rPr>
          <w:rFonts w:cs="宋体"/>
          <w:b/>
          <w:kern w:val="0"/>
          <w:sz w:val="28"/>
          <w:szCs w:val="28"/>
        </w:rPr>
      </w:pPr>
    </w:p>
    <w:p>
      <w:pPr>
        <w:pStyle w:val="105"/>
        <w:rPr>
          <w:rFonts w:cs="宋体"/>
          <w:b/>
          <w:kern w:val="0"/>
          <w:sz w:val="28"/>
          <w:szCs w:val="28"/>
        </w:rPr>
      </w:pPr>
    </w:p>
    <w:p>
      <w:pPr>
        <w:pStyle w:val="77"/>
        <w:spacing w:line="460" w:lineRule="exact"/>
        <w:rPr>
          <w:rFonts w:ascii="宋体" w:hAnsi="宋体"/>
          <w:b/>
          <w:sz w:val="24"/>
        </w:rPr>
      </w:pPr>
      <w:r>
        <w:rPr>
          <w:rFonts w:hint="eastAsia" w:ascii="宋体" w:hAnsi="宋体"/>
          <w:b/>
          <w:sz w:val="24"/>
        </w:rPr>
        <w:t>附件：</w:t>
      </w:r>
    </w:p>
    <w:p>
      <w:pPr>
        <w:pStyle w:val="77"/>
        <w:spacing w:line="460" w:lineRule="exact"/>
        <w:ind w:firstLine="480" w:firstLineChars="200"/>
        <w:rPr>
          <w:rFonts w:ascii="宋体" w:hAnsi="宋体"/>
          <w:sz w:val="24"/>
        </w:rPr>
      </w:pPr>
      <w:r>
        <w:rPr>
          <w:rFonts w:hint="eastAsia" w:ascii="宋体" w:hAnsi="宋体"/>
          <w:sz w:val="24"/>
        </w:rPr>
        <w:t xml:space="preserve">附件1：项目经理终身责任制承诺及其他承诺 </w:t>
      </w:r>
    </w:p>
    <w:p>
      <w:pPr>
        <w:pStyle w:val="77"/>
        <w:spacing w:line="460" w:lineRule="exact"/>
        <w:ind w:firstLine="480" w:firstLineChars="200"/>
        <w:rPr>
          <w:rFonts w:ascii="宋体" w:hAnsi="宋体"/>
          <w:sz w:val="24"/>
        </w:rPr>
      </w:pPr>
      <w:r>
        <w:rPr>
          <w:rFonts w:hint="eastAsia" w:ascii="宋体" w:hAnsi="宋体"/>
          <w:sz w:val="24"/>
        </w:rPr>
        <w:t>附件2：工程质量保修书</w:t>
      </w:r>
    </w:p>
    <w:p>
      <w:pPr>
        <w:pStyle w:val="77"/>
        <w:spacing w:line="460" w:lineRule="exact"/>
        <w:ind w:firstLine="480" w:firstLineChars="200"/>
        <w:rPr>
          <w:rFonts w:ascii="宋体" w:hAnsi="宋体"/>
          <w:sz w:val="24"/>
        </w:rPr>
      </w:pPr>
      <w:r>
        <w:rPr>
          <w:rFonts w:hint="eastAsia" w:ascii="宋体" w:hAnsi="宋体"/>
          <w:sz w:val="24"/>
        </w:rPr>
        <w:t xml:space="preserve">附件3：承包人主要施工管理人员表 </w:t>
      </w:r>
    </w:p>
    <w:p>
      <w:pPr>
        <w:pStyle w:val="77"/>
        <w:spacing w:line="460" w:lineRule="exact"/>
        <w:ind w:firstLine="560" w:firstLineChars="200"/>
        <w:rPr>
          <w:rFonts w:ascii="宋体" w:hAnsi="宋体"/>
          <w:szCs w:val="21"/>
        </w:rPr>
      </w:pPr>
    </w:p>
    <w:p>
      <w:pPr>
        <w:pStyle w:val="77"/>
        <w:spacing w:line="460" w:lineRule="exact"/>
        <w:ind w:firstLine="560" w:firstLineChars="200"/>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77"/>
        <w:spacing w:line="460" w:lineRule="exact"/>
        <w:rPr>
          <w:rFonts w:ascii="宋体" w:hAnsi="宋体"/>
          <w:szCs w:val="21"/>
        </w:rPr>
      </w:pPr>
    </w:p>
    <w:p>
      <w:pPr>
        <w:pStyle w:val="127"/>
        <w:autoSpaceDE w:val="0"/>
        <w:autoSpaceDN w:val="0"/>
        <w:adjustRightInd w:val="0"/>
        <w:spacing w:line="460" w:lineRule="exact"/>
        <w:jc w:val="left"/>
        <w:rPr>
          <w:rFonts w:ascii="宋体" w:hAnsi="宋体" w:cs="Calibri"/>
          <w:b/>
          <w:kern w:val="0"/>
          <w:sz w:val="24"/>
        </w:rPr>
      </w:pPr>
      <w:r>
        <w:rPr>
          <w:rFonts w:hint="eastAsia" w:ascii="宋体" w:hAnsi="宋体" w:cs="Calibri"/>
          <w:b/>
          <w:kern w:val="0"/>
          <w:sz w:val="24"/>
        </w:rPr>
        <w:t xml:space="preserve">附件1： </w:t>
      </w:r>
    </w:p>
    <w:p>
      <w:pPr>
        <w:pStyle w:val="127"/>
        <w:autoSpaceDE w:val="0"/>
        <w:autoSpaceDN w:val="0"/>
        <w:adjustRightInd w:val="0"/>
        <w:spacing w:line="460" w:lineRule="exact"/>
        <w:ind w:right="-20"/>
        <w:jc w:val="center"/>
        <w:rPr>
          <w:rFonts w:ascii="宋体" w:hAnsi="宋体" w:cs="Calibri"/>
          <w:b/>
          <w:kern w:val="0"/>
          <w:sz w:val="24"/>
        </w:rPr>
      </w:pPr>
      <w:r>
        <w:rPr>
          <w:rFonts w:hint="eastAsia" w:ascii="宋体" w:hAnsi="宋体" w:cs="Calibri"/>
          <w:b/>
          <w:kern w:val="0"/>
          <w:sz w:val="24"/>
        </w:rPr>
        <w:t>项目经理终身责任制承诺</w:t>
      </w:r>
    </w:p>
    <w:p>
      <w:pPr>
        <w:pStyle w:val="127"/>
        <w:autoSpaceDE w:val="0"/>
        <w:autoSpaceDN w:val="0"/>
        <w:adjustRightInd w:val="0"/>
        <w:spacing w:line="460" w:lineRule="exact"/>
        <w:ind w:left="149" w:leftChars="71" w:right="-40" w:firstLine="480" w:firstLineChars="200"/>
        <w:jc w:val="left"/>
        <w:rPr>
          <w:rFonts w:ascii="宋体" w:hAnsi="宋体" w:cs="Calibri"/>
          <w:kern w:val="0"/>
          <w:sz w:val="24"/>
        </w:rPr>
      </w:pPr>
      <w:r>
        <w:rPr>
          <w:rFonts w:hint="eastAsia" w:ascii="宋体" w:hAnsi="宋体" w:cs="Calibri"/>
          <w:kern w:val="0"/>
          <w:sz w:val="24"/>
        </w:rPr>
        <w:t>本人承诺在该工程建设过程中一定认真履行下列相应职责，并在工程设计使用年限内对工程质量承担相应终身质量责任。</w:t>
      </w:r>
    </w:p>
    <w:p>
      <w:pPr>
        <w:pStyle w:val="127"/>
        <w:autoSpaceDE w:val="0"/>
        <w:autoSpaceDN w:val="0"/>
        <w:adjustRightInd w:val="0"/>
        <w:spacing w:line="460" w:lineRule="exact"/>
        <w:ind w:right="-20" w:firstLine="480" w:firstLineChars="200"/>
        <w:jc w:val="left"/>
        <w:rPr>
          <w:rFonts w:ascii="宋体" w:hAnsi="宋体" w:cs="Calibri"/>
          <w:kern w:val="0"/>
          <w:sz w:val="24"/>
        </w:rPr>
      </w:pPr>
      <w:r>
        <w:rPr>
          <w:rFonts w:hint="eastAsia" w:ascii="宋体" w:hAnsi="宋体" w:cs="Calibri"/>
          <w:kern w:val="0"/>
          <w:sz w:val="24"/>
        </w:rPr>
        <w:t>1、认真履行建设工程合同所规定的责任和义务，遵守国家和地方的建设工程相关的法律法规和规范标准。</w:t>
      </w:r>
    </w:p>
    <w:p>
      <w:pPr>
        <w:pStyle w:val="127"/>
        <w:autoSpaceDE w:val="0"/>
        <w:autoSpaceDN w:val="0"/>
        <w:adjustRightInd w:val="0"/>
        <w:spacing w:before="6" w:line="460" w:lineRule="exact"/>
        <w:ind w:right="54" w:firstLine="480" w:firstLineChars="200"/>
        <w:jc w:val="left"/>
        <w:rPr>
          <w:rFonts w:ascii="宋体" w:hAnsi="宋体" w:cs="Calibri"/>
          <w:kern w:val="0"/>
          <w:sz w:val="24"/>
        </w:rPr>
      </w:pPr>
      <w:r>
        <w:rPr>
          <w:rFonts w:hint="eastAsia" w:ascii="宋体" w:hAnsi="宋体" w:cs="Calibri"/>
          <w:kern w:val="0"/>
          <w:sz w:val="24"/>
        </w:rPr>
        <w:t>2、在资质等级许可的业务范围承揽工程，不允许其他单位或个人以本单位名义承揽工程，承揽工程后依法签订承包合同，在领取施工许可证或下达开工令（市政工程）后，方进行施工。</w:t>
      </w:r>
    </w:p>
    <w:p>
      <w:pPr>
        <w:pStyle w:val="127"/>
        <w:autoSpaceDE w:val="0"/>
        <w:autoSpaceDN w:val="0"/>
        <w:adjustRightInd w:val="0"/>
        <w:spacing w:before="6" w:line="460" w:lineRule="exact"/>
        <w:ind w:right="57" w:firstLine="480" w:firstLineChars="200"/>
        <w:jc w:val="left"/>
        <w:rPr>
          <w:rFonts w:ascii="宋体" w:hAnsi="宋体" w:cs="Calibri"/>
          <w:kern w:val="0"/>
          <w:sz w:val="24"/>
        </w:rPr>
      </w:pPr>
      <w:r>
        <w:rPr>
          <w:rFonts w:hint="eastAsia" w:ascii="宋体" w:hAnsi="宋体" w:cs="Calibri"/>
          <w:kern w:val="0"/>
          <w:sz w:val="24"/>
        </w:rPr>
        <w:t>3、未经建设单位同意，不将承包工程的任何部分随意分包。不将承包的全 部工程转包或将承包的全部工程肢解后以分包的名义分别转包给他人。</w:t>
      </w:r>
    </w:p>
    <w:p>
      <w:pPr>
        <w:pStyle w:val="127"/>
        <w:autoSpaceDE w:val="0"/>
        <w:autoSpaceDN w:val="0"/>
        <w:adjustRightInd w:val="0"/>
        <w:spacing w:line="460" w:lineRule="exact"/>
        <w:ind w:right="-20" w:firstLine="480" w:firstLineChars="200"/>
        <w:jc w:val="left"/>
        <w:rPr>
          <w:rFonts w:ascii="宋体" w:hAnsi="宋体" w:cs="Calibri"/>
          <w:kern w:val="0"/>
          <w:sz w:val="24"/>
        </w:rPr>
      </w:pPr>
      <w:r>
        <w:rPr>
          <w:rFonts w:hint="eastAsia" w:ascii="宋体" w:hAnsi="宋体" w:cs="Calibri"/>
          <w:kern w:val="0"/>
          <w:sz w:val="24"/>
        </w:rPr>
        <w:t>4、严格按规定配备施工项目部关键岗位人员，并确保所有人员到岗履职。</w:t>
      </w:r>
    </w:p>
    <w:p>
      <w:pPr>
        <w:pStyle w:val="127"/>
        <w:autoSpaceDE w:val="0"/>
        <w:autoSpaceDN w:val="0"/>
        <w:adjustRightInd w:val="0"/>
        <w:spacing w:before="7" w:line="460" w:lineRule="exact"/>
        <w:ind w:right="57" w:firstLine="480" w:firstLineChars="200"/>
        <w:jc w:val="left"/>
        <w:rPr>
          <w:rFonts w:ascii="宋体" w:hAnsi="宋体" w:cs="Calibri"/>
          <w:kern w:val="0"/>
          <w:sz w:val="24"/>
        </w:rPr>
      </w:pPr>
      <w:r>
        <w:rPr>
          <w:rFonts w:hint="eastAsia" w:ascii="宋体" w:hAnsi="宋体" w:cs="Calibri"/>
          <w:kern w:val="0"/>
          <w:sz w:val="24"/>
        </w:rPr>
        <w:t>5、严格按照经施工图审查机构审查合格的工程设计文件以及施工技术标准和合同约定的质量标准精心组织施工，不擅自修改工程设计，不偷工减料。并对施工中采用的建筑材料、建筑构配件、设备和商品砼严格按规定进行见证取样检验，检验后应有书面记录，并有专人签字；未经检验或者检验不合格的，不使用于工程。</w:t>
      </w:r>
    </w:p>
    <w:p>
      <w:pPr>
        <w:pStyle w:val="127"/>
        <w:autoSpaceDE w:val="0"/>
        <w:autoSpaceDN w:val="0"/>
        <w:adjustRightInd w:val="0"/>
        <w:spacing w:before="5" w:line="460" w:lineRule="exact"/>
        <w:ind w:right="56" w:firstLine="480" w:firstLineChars="200"/>
        <w:jc w:val="left"/>
        <w:rPr>
          <w:rFonts w:ascii="宋体" w:hAnsi="宋体" w:cs="Calibri"/>
          <w:kern w:val="0"/>
          <w:sz w:val="24"/>
        </w:rPr>
      </w:pPr>
      <w:r>
        <w:rPr>
          <w:rFonts w:hint="eastAsia" w:ascii="宋体" w:hAnsi="宋体" w:cs="Calibri"/>
          <w:kern w:val="0"/>
          <w:sz w:val="24"/>
        </w:rPr>
        <w:t>6、建立、健全质量的检查验收制度，严格工序管理，做好隐蔽工程的质量检查和记录。隐蔽工程在隐蔽前，及时通知建设、设计、监理单位和工程质量监督机构检查验收。</w:t>
      </w:r>
    </w:p>
    <w:p>
      <w:pPr>
        <w:pStyle w:val="127"/>
        <w:autoSpaceDE w:val="0"/>
        <w:autoSpaceDN w:val="0"/>
        <w:adjustRightInd w:val="0"/>
        <w:spacing w:line="460" w:lineRule="exact"/>
        <w:ind w:left="150" w:right="-20"/>
        <w:jc w:val="left"/>
        <w:rPr>
          <w:rFonts w:ascii="宋体" w:hAnsi="宋体" w:cs="Calibri"/>
          <w:kern w:val="0"/>
          <w:sz w:val="24"/>
        </w:rPr>
      </w:pPr>
      <w:r>
        <w:rPr>
          <w:rFonts w:hint="eastAsia" w:ascii="宋体" w:hAnsi="宋体" w:cs="Calibri"/>
          <w:kern w:val="0"/>
          <w:sz w:val="24"/>
        </w:rPr>
        <w:t xml:space="preserve">   7、形成的工程文件真实、准确完整，签章手续齐全，并及时整理移交建设单位归档。</w:t>
      </w:r>
    </w:p>
    <w:p>
      <w:pPr>
        <w:pStyle w:val="127"/>
        <w:autoSpaceDE w:val="0"/>
        <w:autoSpaceDN w:val="0"/>
        <w:adjustRightInd w:val="0"/>
        <w:spacing w:before="2" w:line="460" w:lineRule="exact"/>
        <w:ind w:right="55" w:firstLine="480" w:firstLineChars="200"/>
        <w:rPr>
          <w:rFonts w:ascii="宋体" w:hAnsi="宋体" w:cs="Calibri"/>
          <w:kern w:val="0"/>
          <w:sz w:val="24"/>
        </w:rPr>
      </w:pPr>
      <w:r>
        <w:rPr>
          <w:rFonts w:hint="eastAsia" w:ascii="宋体" w:hAnsi="宋体" w:cs="Calibri"/>
          <w:kern w:val="0"/>
          <w:sz w:val="24"/>
        </w:rPr>
        <w:t>8、对施工中出现的质量问题或竣工验收不合格的工程，负责返修。向建设单位出具质量保修书，保修书中明确建设工程的保修范围、保修期限和保修责任等。建设工程在保修范围和期限内发生质量问题，严格依法依规履行保修义务，并根据法律法规和合同约定对造成的损失承担赔偿责任。</w:t>
      </w:r>
    </w:p>
    <w:p>
      <w:pPr>
        <w:pStyle w:val="127"/>
        <w:autoSpaceDE w:val="0"/>
        <w:autoSpaceDN w:val="0"/>
        <w:adjustRightInd w:val="0"/>
        <w:spacing w:line="460" w:lineRule="exact"/>
        <w:ind w:right="-20" w:firstLine="480" w:firstLineChars="200"/>
        <w:jc w:val="left"/>
        <w:rPr>
          <w:rFonts w:ascii="宋体" w:hAnsi="宋体" w:cs="Calibri"/>
          <w:kern w:val="0"/>
          <w:sz w:val="24"/>
        </w:rPr>
      </w:pPr>
      <w:r>
        <w:rPr>
          <w:rFonts w:hint="eastAsia" w:ascii="宋体" w:hAnsi="宋体" w:cs="Calibri"/>
          <w:kern w:val="0"/>
          <w:sz w:val="24"/>
        </w:rPr>
        <w:t>9、在项目现场履行职责时间不低于90%。</w:t>
      </w:r>
    </w:p>
    <w:p>
      <w:pPr>
        <w:pStyle w:val="127"/>
        <w:autoSpaceDE w:val="0"/>
        <w:autoSpaceDN w:val="0"/>
        <w:adjustRightInd w:val="0"/>
        <w:spacing w:line="460" w:lineRule="exact"/>
        <w:ind w:right="-20" w:firstLine="480" w:firstLineChars="200"/>
        <w:jc w:val="left"/>
        <w:rPr>
          <w:rFonts w:ascii="宋体" w:hAnsi="宋体" w:cs="Calibri"/>
          <w:kern w:val="0"/>
          <w:sz w:val="24"/>
        </w:rPr>
      </w:pPr>
      <w:r>
        <w:rPr>
          <w:rFonts w:hint="eastAsia" w:ascii="宋体" w:hAnsi="宋体" w:cs="Calibri"/>
          <w:kern w:val="0"/>
          <w:sz w:val="24"/>
        </w:rPr>
        <w:t>10、其他法律法规规定的职责。</w:t>
      </w:r>
    </w:p>
    <w:p>
      <w:pPr>
        <w:pStyle w:val="127"/>
        <w:autoSpaceDE w:val="0"/>
        <w:autoSpaceDN w:val="0"/>
        <w:adjustRightInd w:val="0"/>
        <w:spacing w:before="6" w:line="460" w:lineRule="exact"/>
        <w:ind w:right="55" w:firstLine="480" w:firstLineChars="200"/>
        <w:rPr>
          <w:rFonts w:ascii="宋体" w:hAnsi="宋体" w:cs="Calibri"/>
          <w:kern w:val="0"/>
          <w:sz w:val="24"/>
        </w:rPr>
      </w:pPr>
      <w:r>
        <w:rPr>
          <w:rFonts w:hint="eastAsia" w:ascii="宋体" w:hAnsi="宋体" w:cs="Calibri"/>
          <w:kern w:val="0"/>
          <w:sz w:val="24"/>
        </w:rPr>
        <w:t>本承诺书一式三份，一份在办理工程质量 监督手续时提交给工程质量监督机构，一份待建设工程竣工验收合格后与工程档案一并交市城建档案馆存档，一份保存于各自责任主体单位备查。</w:t>
      </w:r>
    </w:p>
    <w:p>
      <w:pPr>
        <w:pStyle w:val="127"/>
        <w:autoSpaceDE w:val="0"/>
        <w:autoSpaceDN w:val="0"/>
        <w:adjustRightInd w:val="0"/>
        <w:spacing w:before="6" w:line="460" w:lineRule="exact"/>
        <w:ind w:right="55" w:firstLine="480" w:firstLineChars="200"/>
        <w:rPr>
          <w:rFonts w:ascii="宋体" w:hAnsi="宋体" w:cs="Calibri"/>
          <w:kern w:val="0"/>
          <w:sz w:val="24"/>
        </w:rPr>
      </w:pPr>
      <w:r>
        <w:rPr>
          <w:rFonts w:hint="eastAsia" w:ascii="宋体" w:hAnsi="宋体" w:cs="Calibri"/>
          <w:kern w:val="0"/>
          <w:sz w:val="24"/>
        </w:rPr>
        <w:t>项目经理（承诺人）签字：                 责任单位（公章）</w:t>
      </w:r>
    </w:p>
    <w:p>
      <w:pPr>
        <w:pStyle w:val="127"/>
        <w:autoSpaceDE w:val="0"/>
        <w:autoSpaceDN w:val="0"/>
        <w:adjustRightInd w:val="0"/>
        <w:spacing w:before="6" w:line="460" w:lineRule="exact"/>
        <w:ind w:right="55" w:firstLine="480" w:firstLineChars="200"/>
        <w:rPr>
          <w:rFonts w:ascii="宋体" w:hAnsi="宋体" w:cs="Calibri"/>
          <w:kern w:val="0"/>
          <w:sz w:val="24"/>
        </w:rPr>
      </w:pPr>
      <w:r>
        <w:rPr>
          <w:rFonts w:hint="eastAsia" w:ascii="宋体" w:hAnsi="宋体" w:cs="Calibri"/>
          <w:kern w:val="0"/>
          <w:sz w:val="24"/>
        </w:rPr>
        <w:t>身份证号码：</w:t>
      </w:r>
    </w:p>
    <w:p>
      <w:pPr>
        <w:pStyle w:val="127"/>
        <w:autoSpaceDE w:val="0"/>
        <w:autoSpaceDN w:val="0"/>
        <w:adjustRightInd w:val="0"/>
        <w:spacing w:line="460" w:lineRule="exact"/>
        <w:ind w:right="-20" w:firstLine="480" w:firstLineChars="200"/>
        <w:jc w:val="left"/>
        <w:rPr>
          <w:rFonts w:ascii="宋体" w:hAnsi="宋体" w:cs="Calibri"/>
          <w:kern w:val="0"/>
          <w:sz w:val="24"/>
        </w:rPr>
      </w:pPr>
      <w:r>
        <w:rPr>
          <w:rFonts w:hint="eastAsia" w:ascii="宋体" w:hAnsi="宋体" w:cs="Calibri"/>
          <w:kern w:val="0"/>
          <w:sz w:val="24"/>
        </w:rPr>
        <w:t>执业资格名称：</w:t>
      </w:r>
      <w:r>
        <w:rPr>
          <w:rFonts w:hint="eastAsia" w:ascii="宋体" w:hAnsi="宋体" w:cs="Calibri"/>
          <w:kern w:val="0"/>
          <w:sz w:val="24"/>
        </w:rPr>
        <w:tab/>
      </w:r>
      <w:r>
        <w:rPr>
          <w:rFonts w:hint="eastAsia" w:ascii="宋体" w:hAnsi="宋体" w:cs="Calibri"/>
          <w:kern w:val="0"/>
          <w:sz w:val="24"/>
        </w:rPr>
        <w:t xml:space="preserve"> </w:t>
      </w:r>
    </w:p>
    <w:p>
      <w:pPr>
        <w:pStyle w:val="127"/>
        <w:autoSpaceDE w:val="0"/>
        <w:autoSpaceDN w:val="0"/>
        <w:adjustRightInd w:val="0"/>
        <w:spacing w:line="460" w:lineRule="exact"/>
        <w:ind w:right="-20" w:firstLine="480" w:firstLineChars="200"/>
        <w:jc w:val="left"/>
        <w:rPr>
          <w:rFonts w:ascii="宋体" w:hAnsi="宋体" w:cs="Calibri"/>
          <w:kern w:val="0"/>
          <w:sz w:val="24"/>
        </w:rPr>
      </w:pPr>
      <w:r>
        <w:rPr>
          <w:rFonts w:hint="eastAsia" w:ascii="宋体" w:hAnsi="宋体" w:cs="Calibri"/>
          <w:kern w:val="0"/>
          <w:sz w:val="24"/>
        </w:rPr>
        <w:t>执业资格证号：</w:t>
      </w:r>
    </w:p>
    <w:p>
      <w:pPr>
        <w:pStyle w:val="127"/>
        <w:autoSpaceDE w:val="0"/>
        <w:autoSpaceDN w:val="0"/>
        <w:adjustRightInd w:val="0"/>
        <w:spacing w:line="460" w:lineRule="exact"/>
        <w:ind w:firstLine="480" w:firstLineChars="200"/>
        <w:jc w:val="left"/>
        <w:rPr>
          <w:rFonts w:ascii="宋体" w:hAnsi="宋体" w:cs="Calibri"/>
          <w:kern w:val="0"/>
          <w:sz w:val="24"/>
        </w:rPr>
      </w:pPr>
      <w:r>
        <w:rPr>
          <w:rFonts w:hint="eastAsia" w:ascii="宋体" w:hAnsi="宋体" w:cs="Calibri"/>
          <w:kern w:val="0"/>
          <w:sz w:val="24"/>
        </w:rPr>
        <w:t>年</w:t>
      </w:r>
      <w:r>
        <w:rPr>
          <w:rFonts w:hint="eastAsia" w:ascii="宋体" w:hAnsi="宋体" w:cs="Calibri"/>
          <w:kern w:val="0"/>
          <w:sz w:val="24"/>
        </w:rPr>
        <w:tab/>
      </w:r>
      <w:r>
        <w:rPr>
          <w:rFonts w:hint="eastAsia" w:ascii="宋体" w:hAnsi="宋体" w:cs="Calibri"/>
          <w:kern w:val="0"/>
          <w:sz w:val="24"/>
        </w:rPr>
        <w:t xml:space="preserve">  月</w:t>
      </w:r>
      <w:r>
        <w:rPr>
          <w:rFonts w:hint="eastAsia" w:ascii="宋体" w:hAnsi="宋体" w:cs="Calibri"/>
          <w:kern w:val="0"/>
          <w:sz w:val="24"/>
        </w:rPr>
        <w:tab/>
      </w:r>
      <w:r>
        <w:rPr>
          <w:rFonts w:hint="eastAsia" w:ascii="宋体" w:hAnsi="宋体" w:cs="Calibri"/>
          <w:kern w:val="0"/>
          <w:sz w:val="24"/>
        </w:rPr>
        <w:t>日                            年</w:t>
      </w:r>
      <w:r>
        <w:rPr>
          <w:rFonts w:hint="eastAsia" w:ascii="宋体" w:hAnsi="宋体" w:cs="Calibri"/>
          <w:kern w:val="0"/>
          <w:sz w:val="24"/>
        </w:rPr>
        <w:tab/>
      </w:r>
      <w:r>
        <w:rPr>
          <w:rFonts w:hint="eastAsia" w:ascii="宋体" w:hAnsi="宋体" w:cs="Calibri"/>
          <w:kern w:val="0"/>
          <w:sz w:val="24"/>
        </w:rPr>
        <w:t>月  日</w:t>
      </w:r>
    </w:p>
    <w:p>
      <w:pPr>
        <w:pStyle w:val="127"/>
        <w:autoSpaceDE w:val="0"/>
        <w:autoSpaceDN w:val="0"/>
        <w:adjustRightInd w:val="0"/>
        <w:spacing w:line="460" w:lineRule="exact"/>
        <w:jc w:val="left"/>
        <w:rPr>
          <w:rFonts w:ascii="宋体" w:hAnsi="宋体" w:cs="Calibri"/>
          <w:b/>
          <w:kern w:val="0"/>
          <w:szCs w:val="21"/>
        </w:rPr>
      </w:pPr>
      <w:r>
        <w:rPr>
          <w:rFonts w:hint="eastAsia" w:ascii="宋体" w:hAnsi="宋体" w:cs="Calibri"/>
          <w:kern w:val="0"/>
          <w:szCs w:val="21"/>
        </w:rPr>
        <w:t xml:space="preserve"> </w:t>
      </w:r>
      <w:r>
        <w:rPr>
          <w:rFonts w:hint="eastAsia" w:ascii="宋体" w:hAnsi="宋体" w:cs="Calibri"/>
          <w:b/>
          <w:kern w:val="0"/>
          <w:szCs w:val="21"/>
        </w:rPr>
        <w:t xml:space="preserve">                        </w:t>
      </w:r>
    </w:p>
    <w:p>
      <w:pPr>
        <w:pStyle w:val="127"/>
        <w:autoSpaceDE w:val="0"/>
        <w:autoSpaceDN w:val="0"/>
        <w:adjustRightInd w:val="0"/>
        <w:spacing w:line="460" w:lineRule="exact"/>
        <w:jc w:val="left"/>
        <w:rPr>
          <w:rFonts w:ascii="宋体" w:hAnsi="宋体" w:cs="Calibri"/>
          <w:b/>
          <w:kern w:val="0"/>
          <w:szCs w:val="21"/>
        </w:rPr>
      </w:pPr>
      <w:r>
        <w:rPr>
          <w:rFonts w:hint="eastAsia" w:ascii="宋体" w:hAnsi="宋体" w:cs="Calibri"/>
          <w:b/>
          <w:kern w:val="0"/>
          <w:szCs w:val="21"/>
        </w:rPr>
        <w:t xml:space="preserve">        </w:t>
      </w:r>
    </w:p>
    <w:p>
      <w:pPr>
        <w:pStyle w:val="127"/>
        <w:autoSpaceDE w:val="0"/>
        <w:autoSpaceDN w:val="0"/>
        <w:adjustRightInd w:val="0"/>
        <w:spacing w:line="460" w:lineRule="exact"/>
        <w:jc w:val="center"/>
        <w:rPr>
          <w:rFonts w:ascii="宋体" w:hAnsi="宋体" w:cs="Calibri"/>
          <w:b/>
          <w:kern w:val="0"/>
          <w:sz w:val="24"/>
        </w:rPr>
      </w:pPr>
    </w:p>
    <w:p>
      <w:pPr>
        <w:pStyle w:val="127"/>
        <w:autoSpaceDE w:val="0"/>
        <w:autoSpaceDN w:val="0"/>
        <w:adjustRightInd w:val="0"/>
        <w:spacing w:line="460" w:lineRule="exact"/>
        <w:jc w:val="center"/>
        <w:rPr>
          <w:rFonts w:ascii="宋体" w:hAnsi="宋体" w:cs="Calibri"/>
          <w:b/>
          <w:kern w:val="0"/>
          <w:sz w:val="24"/>
        </w:rPr>
      </w:pPr>
      <w:r>
        <w:rPr>
          <w:rFonts w:hint="eastAsia" w:ascii="宋体" w:hAnsi="宋体" w:cs="Calibri"/>
          <w:b/>
          <w:kern w:val="0"/>
          <w:sz w:val="24"/>
        </w:rPr>
        <w:t>承   诺   书</w:t>
      </w:r>
    </w:p>
    <w:p>
      <w:pPr>
        <w:pStyle w:val="127"/>
        <w:autoSpaceDE w:val="0"/>
        <w:autoSpaceDN w:val="0"/>
        <w:adjustRightInd w:val="0"/>
        <w:spacing w:before="5" w:line="460" w:lineRule="exact"/>
        <w:jc w:val="left"/>
        <w:rPr>
          <w:rFonts w:ascii="宋体" w:hAnsi="宋体" w:cs="Calibri"/>
          <w:kern w:val="0"/>
          <w:sz w:val="24"/>
        </w:rPr>
      </w:pPr>
    </w:p>
    <w:p>
      <w:pPr>
        <w:pStyle w:val="127"/>
        <w:autoSpaceDE w:val="0"/>
        <w:autoSpaceDN w:val="0"/>
        <w:adjustRightInd w:val="0"/>
        <w:spacing w:line="460" w:lineRule="exact"/>
        <w:ind w:right="-29"/>
        <w:rPr>
          <w:rFonts w:ascii="宋体" w:hAnsi="宋体" w:cs="Calibri"/>
          <w:kern w:val="0"/>
          <w:sz w:val="24"/>
        </w:rPr>
      </w:pPr>
      <w:r>
        <w:rPr>
          <w:rFonts w:hint="eastAsia" w:ascii="宋体" w:hAnsi="宋体" w:cs="Calibri"/>
          <w:kern w:val="0"/>
          <w:sz w:val="24"/>
          <w:u w:val="single"/>
        </w:rPr>
        <w:t xml:space="preserve">                                </w:t>
      </w:r>
      <w:r>
        <w:rPr>
          <w:rFonts w:hint="eastAsia" w:ascii="宋体" w:hAnsi="宋体" w:cs="Calibri"/>
          <w:kern w:val="0"/>
          <w:sz w:val="24"/>
        </w:rPr>
        <w:t>：</w:t>
      </w:r>
    </w:p>
    <w:p>
      <w:pPr>
        <w:pStyle w:val="127"/>
        <w:autoSpaceDE w:val="0"/>
        <w:autoSpaceDN w:val="0"/>
        <w:adjustRightInd w:val="0"/>
        <w:spacing w:line="460" w:lineRule="exact"/>
        <w:jc w:val="left"/>
        <w:rPr>
          <w:rFonts w:ascii="宋体" w:hAnsi="宋体" w:cs="Calibri"/>
          <w:kern w:val="0"/>
          <w:sz w:val="24"/>
        </w:rPr>
      </w:pPr>
      <w:r>
        <w:rPr>
          <w:rFonts w:hint="eastAsia" w:ascii="宋体" w:hAnsi="宋体" w:cs="Calibri"/>
          <w:kern w:val="0"/>
          <w:sz w:val="24"/>
        </w:rPr>
        <w:t xml:space="preserve"> </w:t>
      </w:r>
    </w:p>
    <w:p>
      <w:pPr>
        <w:pStyle w:val="127"/>
        <w:autoSpaceDE w:val="0"/>
        <w:autoSpaceDN w:val="0"/>
        <w:adjustRightInd w:val="0"/>
        <w:spacing w:before="18" w:line="460" w:lineRule="exact"/>
        <w:jc w:val="left"/>
        <w:rPr>
          <w:rFonts w:ascii="宋体" w:hAnsi="宋体" w:cs="Calibri"/>
          <w:kern w:val="0"/>
          <w:sz w:val="24"/>
        </w:rPr>
      </w:pPr>
      <w:r>
        <w:rPr>
          <w:rFonts w:hint="eastAsia" w:ascii="宋体" w:hAnsi="宋体" w:cs="Calibri"/>
          <w:kern w:val="0"/>
          <w:sz w:val="24"/>
        </w:rPr>
        <w:t xml:space="preserve"> </w:t>
      </w:r>
    </w:p>
    <w:p>
      <w:pPr>
        <w:pStyle w:val="127"/>
        <w:autoSpaceDE w:val="0"/>
        <w:autoSpaceDN w:val="0"/>
        <w:adjustRightInd w:val="0"/>
        <w:spacing w:line="460" w:lineRule="exact"/>
        <w:ind w:firstLine="480" w:firstLineChars="200"/>
        <w:jc w:val="left"/>
        <w:rPr>
          <w:rFonts w:ascii="宋体" w:hAnsi="宋体" w:cs="Calibri"/>
          <w:kern w:val="0"/>
          <w:sz w:val="24"/>
        </w:rPr>
      </w:pPr>
      <w:r>
        <w:rPr>
          <w:rFonts w:hint="eastAsia" w:ascii="宋体" w:hAnsi="宋体" w:cs="Calibri"/>
          <w:kern w:val="0"/>
          <w:sz w:val="24"/>
        </w:rPr>
        <w:t>我方在此声明，我方拟派往</w:t>
      </w:r>
      <w:r>
        <w:rPr>
          <w:rFonts w:hint="eastAsia" w:ascii="宋体" w:hAnsi="宋体" w:cs="Calibri"/>
          <w:kern w:val="0"/>
          <w:sz w:val="24"/>
          <w:u w:val="single"/>
        </w:rPr>
        <w:tab/>
      </w:r>
      <w:r>
        <w:rPr>
          <w:rFonts w:hint="eastAsia" w:ascii="宋体" w:hAnsi="宋体" w:cs="Calibri"/>
          <w:kern w:val="0"/>
          <w:sz w:val="24"/>
          <w:u w:val="single"/>
        </w:rPr>
        <w:t xml:space="preserve">                          </w:t>
      </w:r>
      <w:r>
        <w:rPr>
          <w:rFonts w:hint="eastAsia" w:ascii="宋体" w:hAnsi="宋体" w:cs="Calibri"/>
          <w:kern w:val="0"/>
          <w:sz w:val="24"/>
        </w:rPr>
        <w:t>（以下简称“本工程”）的项目经理</w:t>
      </w:r>
      <w:r>
        <w:rPr>
          <w:rFonts w:hint="eastAsia" w:ascii="宋体" w:hAnsi="宋体" w:cs="Calibri"/>
          <w:kern w:val="0"/>
          <w:sz w:val="24"/>
          <w:u w:val="single"/>
        </w:rPr>
        <w:t xml:space="preserve">                  </w:t>
      </w:r>
      <w:r>
        <w:rPr>
          <w:rFonts w:hint="eastAsia" w:ascii="宋体" w:hAnsi="宋体" w:cs="Calibri"/>
          <w:kern w:val="0"/>
          <w:sz w:val="24"/>
        </w:rPr>
        <w:t>现阶段没有担任任何在施建设工程项目的项目负责人。我方保证上述信息的真实和准确，并愿意承担因我方就此弄虚作假所引起的一切法律后果。</w:t>
      </w:r>
    </w:p>
    <w:p>
      <w:pPr>
        <w:pStyle w:val="127"/>
        <w:autoSpaceDE w:val="0"/>
        <w:autoSpaceDN w:val="0"/>
        <w:adjustRightInd w:val="0"/>
        <w:spacing w:before="5" w:line="460" w:lineRule="exact"/>
        <w:jc w:val="left"/>
        <w:rPr>
          <w:rFonts w:ascii="宋体" w:hAnsi="宋体" w:cs="Calibri"/>
          <w:kern w:val="0"/>
          <w:sz w:val="24"/>
        </w:rPr>
      </w:pPr>
      <w:r>
        <w:rPr>
          <w:rFonts w:hint="eastAsia" w:ascii="宋体" w:hAnsi="宋体" w:cs="Calibri"/>
          <w:kern w:val="0"/>
          <w:sz w:val="24"/>
        </w:rPr>
        <w:t xml:space="preserve"> </w:t>
      </w:r>
    </w:p>
    <w:p>
      <w:pPr>
        <w:pStyle w:val="127"/>
        <w:autoSpaceDE w:val="0"/>
        <w:autoSpaceDN w:val="0"/>
        <w:adjustRightInd w:val="0"/>
        <w:spacing w:line="460" w:lineRule="exact"/>
        <w:jc w:val="left"/>
        <w:rPr>
          <w:rFonts w:ascii="宋体" w:hAnsi="宋体" w:cs="Calibri"/>
          <w:kern w:val="0"/>
          <w:sz w:val="24"/>
        </w:rPr>
      </w:pPr>
      <w:r>
        <w:rPr>
          <w:rFonts w:hint="eastAsia" w:ascii="宋体" w:hAnsi="宋体" w:cs="Calibri"/>
          <w:kern w:val="0"/>
          <w:sz w:val="24"/>
        </w:rPr>
        <w:t xml:space="preserve">  </w:t>
      </w:r>
    </w:p>
    <w:p>
      <w:pPr>
        <w:pStyle w:val="127"/>
        <w:autoSpaceDE w:val="0"/>
        <w:autoSpaceDN w:val="0"/>
        <w:adjustRightInd w:val="0"/>
        <w:spacing w:line="460" w:lineRule="exact"/>
        <w:jc w:val="left"/>
        <w:rPr>
          <w:rFonts w:ascii="宋体" w:hAnsi="宋体" w:cs="Calibri"/>
          <w:kern w:val="0"/>
          <w:sz w:val="24"/>
        </w:rPr>
      </w:pPr>
    </w:p>
    <w:p>
      <w:pPr>
        <w:pStyle w:val="127"/>
        <w:autoSpaceDE w:val="0"/>
        <w:autoSpaceDN w:val="0"/>
        <w:adjustRightInd w:val="0"/>
        <w:spacing w:line="460" w:lineRule="exact"/>
        <w:ind w:left="709" w:right="-20"/>
        <w:jc w:val="left"/>
        <w:rPr>
          <w:rFonts w:ascii="宋体" w:hAnsi="宋体" w:cs="Calibri"/>
          <w:kern w:val="0"/>
          <w:sz w:val="24"/>
        </w:rPr>
      </w:pPr>
      <w:r>
        <w:rPr>
          <w:rFonts w:hint="eastAsia" w:ascii="宋体" w:hAnsi="宋体" w:cs="Calibri"/>
          <w:kern w:val="0"/>
          <w:sz w:val="24"/>
        </w:rPr>
        <w:t>特此承诺！</w:t>
      </w:r>
    </w:p>
    <w:p>
      <w:pPr>
        <w:pStyle w:val="127"/>
        <w:autoSpaceDE w:val="0"/>
        <w:autoSpaceDN w:val="0"/>
        <w:adjustRightInd w:val="0"/>
        <w:spacing w:line="460" w:lineRule="exact"/>
        <w:ind w:left="709" w:right="-20"/>
        <w:jc w:val="left"/>
        <w:rPr>
          <w:rFonts w:ascii="宋体" w:hAnsi="宋体" w:cs="Calibri"/>
          <w:kern w:val="0"/>
          <w:sz w:val="24"/>
        </w:rPr>
      </w:pPr>
    </w:p>
    <w:p>
      <w:pPr>
        <w:pStyle w:val="127"/>
        <w:autoSpaceDE w:val="0"/>
        <w:autoSpaceDN w:val="0"/>
        <w:adjustRightInd w:val="0"/>
        <w:spacing w:line="460" w:lineRule="exact"/>
        <w:ind w:left="709" w:right="-20"/>
        <w:jc w:val="left"/>
        <w:rPr>
          <w:rFonts w:ascii="宋体" w:hAnsi="宋体" w:cs="Calibri"/>
          <w:kern w:val="0"/>
          <w:sz w:val="24"/>
        </w:rPr>
      </w:pPr>
    </w:p>
    <w:p>
      <w:pPr>
        <w:pStyle w:val="127"/>
        <w:autoSpaceDE w:val="0"/>
        <w:autoSpaceDN w:val="0"/>
        <w:adjustRightInd w:val="0"/>
        <w:spacing w:line="460" w:lineRule="exact"/>
        <w:ind w:firstLine="720" w:firstLineChars="300"/>
        <w:jc w:val="left"/>
        <w:rPr>
          <w:rFonts w:ascii="宋体" w:hAnsi="宋体" w:cs="Calibri"/>
          <w:kern w:val="0"/>
          <w:sz w:val="24"/>
        </w:rPr>
      </w:pPr>
      <w:r>
        <w:rPr>
          <w:rFonts w:hint="eastAsia" w:ascii="宋体" w:hAnsi="宋体" w:cs="Calibri"/>
          <w:kern w:val="0"/>
          <w:sz w:val="24"/>
        </w:rPr>
        <w:t>供应商单位：</w:t>
      </w:r>
      <w:r>
        <w:rPr>
          <w:rFonts w:hint="eastAsia" w:ascii="宋体" w:hAnsi="宋体" w:cs="Calibri"/>
          <w:kern w:val="0"/>
          <w:sz w:val="24"/>
        </w:rPr>
        <w:tab/>
      </w:r>
      <w:r>
        <w:rPr>
          <w:rFonts w:hint="eastAsia" w:ascii="宋体" w:hAnsi="宋体" w:cs="Calibri"/>
          <w:kern w:val="0"/>
          <w:sz w:val="24"/>
        </w:rPr>
        <w:t>（盖单位章）</w:t>
      </w:r>
    </w:p>
    <w:p>
      <w:pPr>
        <w:pStyle w:val="127"/>
        <w:autoSpaceDE w:val="0"/>
        <w:autoSpaceDN w:val="0"/>
        <w:adjustRightInd w:val="0"/>
        <w:spacing w:line="460" w:lineRule="exact"/>
        <w:ind w:firstLine="720" w:firstLineChars="300"/>
        <w:jc w:val="left"/>
        <w:rPr>
          <w:rFonts w:ascii="宋体" w:hAnsi="宋体" w:cs="Calibri"/>
          <w:kern w:val="0"/>
          <w:sz w:val="24"/>
        </w:rPr>
      </w:pPr>
      <w:r>
        <w:rPr>
          <w:rFonts w:hint="eastAsia" w:ascii="宋体" w:hAnsi="宋体" w:cs="Calibri"/>
          <w:kern w:val="0"/>
          <w:sz w:val="24"/>
        </w:rPr>
        <w:t>法定代表人或其委托代理人：（签章）</w:t>
      </w:r>
    </w:p>
    <w:p>
      <w:pPr>
        <w:pStyle w:val="127"/>
        <w:autoSpaceDE w:val="0"/>
        <w:autoSpaceDN w:val="0"/>
        <w:adjustRightInd w:val="0"/>
        <w:spacing w:line="460" w:lineRule="exact"/>
        <w:ind w:right="1702" w:firstLine="720" w:firstLineChars="300"/>
        <w:jc w:val="left"/>
        <w:rPr>
          <w:rFonts w:ascii="宋体" w:hAnsi="宋体" w:cs="Calibri"/>
          <w:kern w:val="0"/>
          <w:sz w:val="24"/>
        </w:rPr>
      </w:pPr>
      <w:r>
        <w:rPr>
          <w:rFonts w:hint="eastAsia" w:ascii="宋体" w:hAnsi="宋体" w:cs="Calibri"/>
          <w:kern w:val="0"/>
          <w:sz w:val="24"/>
        </w:rPr>
        <w:t>年</w:t>
      </w:r>
      <w:r>
        <w:rPr>
          <w:rFonts w:hint="eastAsia" w:ascii="宋体" w:hAnsi="宋体" w:cs="Calibri"/>
          <w:kern w:val="0"/>
          <w:sz w:val="24"/>
        </w:rPr>
        <w:tab/>
      </w:r>
      <w:r>
        <w:rPr>
          <w:rFonts w:hint="eastAsia" w:ascii="宋体" w:hAnsi="宋体" w:cs="Calibri"/>
          <w:kern w:val="0"/>
          <w:sz w:val="24"/>
        </w:rPr>
        <w:t xml:space="preserve">  月</w:t>
      </w:r>
      <w:r>
        <w:rPr>
          <w:rFonts w:hint="eastAsia" w:ascii="宋体" w:hAnsi="宋体" w:cs="Calibri"/>
          <w:kern w:val="0"/>
          <w:sz w:val="24"/>
        </w:rPr>
        <w:tab/>
      </w:r>
      <w:r>
        <w:rPr>
          <w:rFonts w:hint="eastAsia" w:ascii="宋体" w:hAnsi="宋体" w:cs="Calibri"/>
          <w:kern w:val="0"/>
          <w:sz w:val="24"/>
        </w:rPr>
        <w:t>日</w:t>
      </w:r>
    </w:p>
    <w:p>
      <w:pPr>
        <w:pStyle w:val="127"/>
        <w:autoSpaceDE w:val="0"/>
        <w:autoSpaceDN w:val="0"/>
        <w:adjustRightInd w:val="0"/>
        <w:spacing w:line="460" w:lineRule="exact"/>
        <w:jc w:val="left"/>
        <w:rPr>
          <w:rFonts w:ascii="宋体" w:hAnsi="宋体" w:cs="Calibri"/>
          <w:kern w:val="0"/>
          <w:szCs w:val="21"/>
        </w:rPr>
      </w:pPr>
      <w:r>
        <w:rPr>
          <w:rFonts w:hint="eastAsia" w:ascii="宋体" w:hAnsi="宋体" w:cs="Calibri"/>
          <w:kern w:val="0"/>
          <w:szCs w:val="21"/>
        </w:rPr>
        <w:t xml:space="preserve"> </w:t>
      </w:r>
    </w:p>
    <w:p>
      <w:pPr>
        <w:pStyle w:val="127"/>
        <w:autoSpaceDE w:val="0"/>
        <w:autoSpaceDN w:val="0"/>
        <w:adjustRightInd w:val="0"/>
        <w:spacing w:line="460" w:lineRule="exact"/>
        <w:jc w:val="left"/>
        <w:rPr>
          <w:rFonts w:ascii="宋体" w:hAnsi="宋体" w:cs="Calibri"/>
          <w:kern w:val="0"/>
          <w:szCs w:val="21"/>
        </w:rPr>
      </w:pPr>
      <w:r>
        <w:rPr>
          <w:rFonts w:hint="eastAsia" w:ascii="宋体" w:hAnsi="宋体" w:cs="Calibri"/>
          <w:kern w:val="0"/>
          <w:szCs w:val="21"/>
        </w:rPr>
        <w:t xml:space="preserve"> </w:t>
      </w:r>
    </w:p>
    <w:p>
      <w:pPr>
        <w:pStyle w:val="127"/>
        <w:autoSpaceDE w:val="0"/>
        <w:autoSpaceDN w:val="0"/>
        <w:adjustRightInd w:val="0"/>
        <w:spacing w:line="460" w:lineRule="exact"/>
        <w:jc w:val="left"/>
        <w:rPr>
          <w:rFonts w:ascii="宋体" w:hAnsi="宋体" w:cs="Calibri"/>
          <w:kern w:val="0"/>
          <w:szCs w:val="21"/>
        </w:rPr>
      </w:pPr>
    </w:p>
    <w:p>
      <w:pPr>
        <w:pStyle w:val="127"/>
        <w:autoSpaceDE w:val="0"/>
        <w:autoSpaceDN w:val="0"/>
        <w:adjustRightInd w:val="0"/>
        <w:spacing w:line="460" w:lineRule="exact"/>
        <w:jc w:val="left"/>
        <w:rPr>
          <w:rFonts w:ascii="宋体" w:hAnsi="宋体" w:cs="Calibri"/>
          <w:kern w:val="0"/>
          <w:szCs w:val="21"/>
        </w:rPr>
      </w:pPr>
    </w:p>
    <w:p>
      <w:pPr>
        <w:pStyle w:val="127"/>
        <w:autoSpaceDE w:val="0"/>
        <w:autoSpaceDN w:val="0"/>
        <w:adjustRightInd w:val="0"/>
        <w:spacing w:line="460" w:lineRule="exact"/>
        <w:jc w:val="left"/>
        <w:rPr>
          <w:rFonts w:ascii="宋体" w:hAnsi="宋体" w:cs="Calibri"/>
          <w:kern w:val="0"/>
          <w:szCs w:val="21"/>
        </w:rPr>
      </w:pPr>
    </w:p>
    <w:p>
      <w:pPr>
        <w:pStyle w:val="127"/>
        <w:autoSpaceDE w:val="0"/>
        <w:autoSpaceDN w:val="0"/>
        <w:adjustRightInd w:val="0"/>
        <w:spacing w:line="460" w:lineRule="exact"/>
        <w:jc w:val="left"/>
        <w:rPr>
          <w:rFonts w:ascii="宋体" w:hAnsi="宋体" w:cs="Calibri"/>
          <w:kern w:val="0"/>
          <w:szCs w:val="21"/>
        </w:rPr>
      </w:pPr>
    </w:p>
    <w:p>
      <w:pPr>
        <w:pStyle w:val="127"/>
        <w:autoSpaceDE w:val="0"/>
        <w:autoSpaceDN w:val="0"/>
        <w:adjustRightInd w:val="0"/>
        <w:spacing w:line="460" w:lineRule="exact"/>
        <w:jc w:val="left"/>
        <w:rPr>
          <w:rFonts w:ascii="宋体" w:hAnsi="宋体" w:cs="Calibri"/>
          <w:kern w:val="0"/>
          <w:szCs w:val="21"/>
        </w:rPr>
      </w:pPr>
    </w:p>
    <w:p>
      <w:pPr>
        <w:pStyle w:val="67"/>
        <w:spacing w:line="460" w:lineRule="exact"/>
        <w:ind w:firstLine="848"/>
        <w:rPr>
          <w:rFonts w:ascii="宋体" w:hAnsi="宋体"/>
          <w:sz w:val="24"/>
          <w:szCs w:val="24"/>
        </w:rPr>
      </w:pPr>
      <w:r>
        <w:rPr>
          <w:rFonts w:hint="eastAsia" w:ascii="宋体" w:hAnsi="宋体" w:cs="Calibri"/>
          <w:b/>
          <w:sz w:val="24"/>
          <w:szCs w:val="24"/>
        </w:rPr>
        <w:t xml:space="preserve">附件2： </w:t>
      </w:r>
    </w:p>
    <w:p>
      <w:pPr>
        <w:pStyle w:val="71"/>
        <w:spacing w:line="460" w:lineRule="exact"/>
        <w:jc w:val="center"/>
        <w:rPr>
          <w:rFonts w:ascii="宋体" w:hAnsi="宋体"/>
          <w:sz w:val="24"/>
        </w:rPr>
      </w:pPr>
      <w:r>
        <w:rPr>
          <w:rFonts w:hint="eastAsia" w:ascii="宋体" w:hAnsi="宋体"/>
          <w:sz w:val="24"/>
        </w:rPr>
        <w:t>工程质量保修书</w:t>
      </w:r>
    </w:p>
    <w:p>
      <w:pPr>
        <w:pStyle w:val="71"/>
        <w:spacing w:line="460" w:lineRule="exact"/>
        <w:rPr>
          <w:rFonts w:ascii="宋体" w:hAnsi="宋体"/>
          <w:sz w:val="24"/>
        </w:rPr>
      </w:pPr>
      <w:r>
        <w:rPr>
          <w:rFonts w:hint="eastAsia" w:ascii="宋体" w:hAnsi="宋体"/>
          <w:sz w:val="24"/>
        </w:rPr>
        <w:t xml:space="preserve">发包人：（全称）   </w:t>
      </w:r>
    </w:p>
    <w:p>
      <w:pPr>
        <w:pStyle w:val="71"/>
        <w:spacing w:line="460" w:lineRule="exact"/>
        <w:rPr>
          <w:rFonts w:ascii="宋体" w:hAnsi="宋体"/>
          <w:sz w:val="24"/>
        </w:rPr>
      </w:pPr>
      <w:r>
        <w:rPr>
          <w:rFonts w:hint="eastAsia" w:ascii="宋体" w:hAnsi="宋体"/>
          <w:sz w:val="24"/>
        </w:rPr>
        <w:t xml:space="preserve">承包人：（全称）   </w:t>
      </w:r>
      <w:r>
        <w:rPr>
          <w:rFonts w:ascii="宋体" w:hAnsi="宋体"/>
          <w:sz w:val="24"/>
        </w:rPr>
        <w:t xml:space="preserve"> </w:t>
      </w:r>
    </w:p>
    <w:p>
      <w:pPr>
        <w:pStyle w:val="71"/>
        <w:spacing w:line="460" w:lineRule="exact"/>
        <w:ind w:firstLine="480" w:firstLineChars="200"/>
        <w:rPr>
          <w:rFonts w:ascii="宋体" w:hAnsi="宋体"/>
          <w:sz w:val="24"/>
        </w:rPr>
      </w:pPr>
      <w:r>
        <w:rPr>
          <w:rFonts w:ascii="宋体" w:hAnsi="宋体"/>
          <w:sz w:val="24"/>
        </w:rPr>
        <w:t xml:space="preserve">   </w:t>
      </w:r>
      <w:r>
        <w:rPr>
          <w:rFonts w:hint="eastAsia" w:ascii="宋体" w:hAnsi="宋体"/>
          <w:sz w:val="24"/>
        </w:rPr>
        <w:t>发包人和承包人根据《中华人民共和国建筑法》和《建设工程质量管</w:t>
      </w:r>
    </w:p>
    <w:p>
      <w:pPr>
        <w:pStyle w:val="71"/>
        <w:spacing w:line="460" w:lineRule="exact"/>
        <w:ind w:firstLine="480" w:firstLineChars="200"/>
        <w:rPr>
          <w:rFonts w:ascii="宋体" w:hAnsi="宋体"/>
          <w:sz w:val="24"/>
        </w:rPr>
      </w:pPr>
      <w:r>
        <w:rPr>
          <w:rFonts w:hint="eastAsia" w:ascii="宋体" w:hAnsi="宋体"/>
          <w:sz w:val="24"/>
        </w:rPr>
        <w:t>理条例》，经协商一致就</w:t>
      </w:r>
      <w:r>
        <w:rPr>
          <w:rFonts w:hint="eastAsia" w:ascii="宋体" w:hAnsi="宋体"/>
          <w:sz w:val="24"/>
          <w:u w:val="single"/>
        </w:rPr>
        <w:t xml:space="preserve">                （工程全称）</w:t>
      </w:r>
      <w:r>
        <w:rPr>
          <w:rFonts w:hint="eastAsia" w:ascii="宋体" w:hAnsi="宋体"/>
          <w:sz w:val="24"/>
        </w:rPr>
        <w:t>签订工程质量保修书。</w:t>
      </w:r>
      <w:r>
        <w:rPr>
          <w:rFonts w:ascii="宋体" w:hAnsi="宋体"/>
          <w:sz w:val="24"/>
        </w:rPr>
        <w:t xml:space="preserve"> </w:t>
      </w:r>
    </w:p>
    <w:p>
      <w:pPr>
        <w:pStyle w:val="71"/>
        <w:spacing w:line="460" w:lineRule="exact"/>
        <w:ind w:firstLine="480" w:firstLineChars="200"/>
        <w:outlineLvl w:val="0"/>
        <w:rPr>
          <w:rFonts w:ascii="宋体" w:hAnsi="宋体"/>
          <w:sz w:val="24"/>
        </w:rPr>
      </w:pPr>
      <w:bookmarkStart w:id="538" w:name="_Toc21671"/>
      <w:bookmarkStart w:id="539" w:name="_Toc14046"/>
      <w:bookmarkStart w:id="540" w:name="_Toc22798"/>
      <w:bookmarkStart w:id="541" w:name="_Toc30238"/>
      <w:bookmarkStart w:id="542" w:name="_Toc23285"/>
      <w:bookmarkStart w:id="543" w:name="_Toc29530"/>
      <w:bookmarkStart w:id="544" w:name="_Toc32510"/>
      <w:bookmarkStart w:id="545" w:name="_Toc13607"/>
      <w:r>
        <w:rPr>
          <w:rFonts w:hint="eastAsia" w:ascii="宋体" w:hAnsi="宋体"/>
          <w:sz w:val="24"/>
        </w:rPr>
        <w:t>一、工程质量保修范围和内容</w:t>
      </w:r>
      <w:bookmarkEnd w:id="538"/>
      <w:bookmarkEnd w:id="539"/>
      <w:bookmarkEnd w:id="540"/>
      <w:bookmarkEnd w:id="541"/>
      <w:bookmarkEnd w:id="542"/>
      <w:bookmarkEnd w:id="543"/>
      <w:bookmarkEnd w:id="544"/>
      <w:bookmarkEnd w:id="545"/>
      <w:r>
        <w:rPr>
          <w:rFonts w:ascii="宋体" w:hAnsi="宋体"/>
          <w:sz w:val="24"/>
        </w:rPr>
        <w:t xml:space="preserve"> </w:t>
      </w:r>
    </w:p>
    <w:p>
      <w:pPr>
        <w:pStyle w:val="71"/>
        <w:spacing w:line="460" w:lineRule="exact"/>
        <w:ind w:firstLine="480" w:firstLineChars="200"/>
        <w:rPr>
          <w:rFonts w:ascii="宋体" w:hAnsi="宋体"/>
          <w:sz w:val="24"/>
        </w:rPr>
      </w:pPr>
      <w:r>
        <w:rPr>
          <w:rFonts w:hint="eastAsia" w:ascii="宋体" w:hAnsi="宋体"/>
          <w:sz w:val="24"/>
        </w:rPr>
        <w:t>承包人在质量保修期内，按照有关法律规定和合同约定，承担工程质量保修责任。</w:t>
      </w:r>
      <w:r>
        <w:rPr>
          <w:rFonts w:ascii="宋体" w:hAnsi="宋体"/>
          <w:sz w:val="24"/>
        </w:rPr>
        <w:t xml:space="preserve"> </w:t>
      </w:r>
    </w:p>
    <w:p>
      <w:pPr>
        <w:pStyle w:val="71"/>
        <w:spacing w:line="460" w:lineRule="exact"/>
        <w:ind w:firstLine="480" w:firstLineChars="200"/>
        <w:rPr>
          <w:rFonts w:ascii="宋体" w:hAnsi="宋体"/>
          <w:sz w:val="24"/>
        </w:rPr>
      </w:pPr>
      <w:r>
        <w:rPr>
          <w:rFonts w:ascii="宋体" w:hAnsi="宋体"/>
          <w:sz w:val="24"/>
        </w:rPr>
        <w:t xml:space="preserve"> </w:t>
      </w:r>
      <w:r>
        <w:rPr>
          <w:rFonts w:hint="eastAsia" w:ascii="宋体" w:hAnsi="宋体"/>
          <w:sz w:val="24"/>
        </w:rPr>
        <w:t>质量保修范围包括合同范围内全部工程。</w:t>
      </w:r>
      <w:r>
        <w:rPr>
          <w:rFonts w:ascii="宋体" w:hAnsi="宋体"/>
          <w:sz w:val="24"/>
        </w:rPr>
        <w:t xml:space="preserve"> </w:t>
      </w:r>
    </w:p>
    <w:p>
      <w:pPr>
        <w:pStyle w:val="71"/>
        <w:spacing w:line="460" w:lineRule="exact"/>
        <w:ind w:firstLine="480" w:firstLineChars="200"/>
        <w:outlineLvl w:val="0"/>
        <w:rPr>
          <w:rFonts w:ascii="宋体" w:hAnsi="宋体"/>
          <w:sz w:val="24"/>
        </w:rPr>
      </w:pPr>
      <w:r>
        <w:rPr>
          <w:rFonts w:ascii="宋体" w:hAnsi="宋体"/>
          <w:sz w:val="24"/>
        </w:rPr>
        <w:t xml:space="preserve"> </w:t>
      </w:r>
      <w:bookmarkStart w:id="546" w:name="_Toc26981"/>
      <w:bookmarkStart w:id="547" w:name="_Toc15716"/>
      <w:bookmarkStart w:id="548" w:name="_Toc18569"/>
      <w:bookmarkStart w:id="549" w:name="_Toc28079"/>
      <w:bookmarkStart w:id="550" w:name="_Toc25359"/>
      <w:bookmarkStart w:id="551" w:name="_Toc403"/>
      <w:bookmarkStart w:id="552" w:name="_Toc15177"/>
      <w:bookmarkStart w:id="553" w:name="_Toc15834"/>
      <w:r>
        <w:rPr>
          <w:rFonts w:hint="eastAsia" w:ascii="宋体" w:hAnsi="宋体"/>
          <w:sz w:val="24"/>
        </w:rPr>
        <w:t>二、质量保修期</w:t>
      </w:r>
      <w:bookmarkEnd w:id="546"/>
      <w:bookmarkEnd w:id="547"/>
      <w:bookmarkEnd w:id="548"/>
      <w:bookmarkEnd w:id="549"/>
      <w:bookmarkEnd w:id="550"/>
      <w:bookmarkEnd w:id="551"/>
      <w:bookmarkEnd w:id="552"/>
      <w:bookmarkEnd w:id="553"/>
      <w:r>
        <w:rPr>
          <w:rFonts w:ascii="宋体" w:hAnsi="宋体"/>
          <w:sz w:val="24"/>
        </w:rPr>
        <w:t xml:space="preserve"> </w:t>
      </w:r>
    </w:p>
    <w:p>
      <w:pPr>
        <w:pStyle w:val="71"/>
        <w:spacing w:line="460" w:lineRule="exact"/>
        <w:ind w:firstLine="480" w:firstLineChars="200"/>
        <w:rPr>
          <w:rFonts w:ascii="宋体" w:hAnsi="宋体"/>
          <w:sz w:val="24"/>
        </w:rPr>
      </w:pPr>
      <w:r>
        <w:rPr>
          <w:rFonts w:hint="eastAsia" w:ascii="宋体" w:hAnsi="宋体"/>
          <w:sz w:val="24"/>
        </w:rPr>
        <w:t>质量保修期自工程竣工验收合格之日起计算。</w:t>
      </w:r>
      <w:r>
        <w:rPr>
          <w:rFonts w:ascii="宋体" w:hAnsi="宋体"/>
          <w:sz w:val="24"/>
        </w:rPr>
        <w:t xml:space="preserve"> </w:t>
      </w:r>
    </w:p>
    <w:p>
      <w:pPr>
        <w:pStyle w:val="71"/>
        <w:spacing w:line="460" w:lineRule="exact"/>
        <w:ind w:firstLine="480" w:firstLineChars="200"/>
        <w:outlineLvl w:val="0"/>
        <w:rPr>
          <w:rFonts w:ascii="宋体" w:hAnsi="宋体"/>
          <w:sz w:val="24"/>
        </w:rPr>
      </w:pPr>
      <w:bookmarkStart w:id="554" w:name="_Toc16703"/>
      <w:bookmarkStart w:id="555" w:name="_Toc29079"/>
      <w:bookmarkStart w:id="556" w:name="_Toc10225"/>
      <w:bookmarkStart w:id="557" w:name="_Toc4744"/>
      <w:bookmarkStart w:id="558" w:name="_Toc26592"/>
      <w:bookmarkStart w:id="559" w:name="_Toc14325"/>
      <w:bookmarkStart w:id="560" w:name="_Toc30563"/>
      <w:bookmarkStart w:id="561" w:name="_Toc1896"/>
      <w:r>
        <w:rPr>
          <w:rFonts w:hint="eastAsia" w:ascii="宋体" w:hAnsi="宋体"/>
          <w:sz w:val="24"/>
        </w:rPr>
        <w:t>三、缺陷责任期</w:t>
      </w:r>
      <w:bookmarkEnd w:id="554"/>
      <w:bookmarkEnd w:id="555"/>
      <w:bookmarkEnd w:id="556"/>
      <w:bookmarkEnd w:id="557"/>
      <w:bookmarkEnd w:id="558"/>
      <w:bookmarkEnd w:id="559"/>
      <w:bookmarkEnd w:id="560"/>
      <w:bookmarkEnd w:id="561"/>
      <w:r>
        <w:rPr>
          <w:rFonts w:ascii="宋体" w:hAnsi="宋体"/>
          <w:sz w:val="24"/>
        </w:rPr>
        <w:t xml:space="preserve"> </w:t>
      </w:r>
    </w:p>
    <w:p>
      <w:pPr>
        <w:pStyle w:val="71"/>
        <w:spacing w:line="460" w:lineRule="exact"/>
        <w:ind w:firstLine="480" w:firstLineChars="200"/>
        <w:rPr>
          <w:rFonts w:ascii="宋体" w:hAnsi="宋体"/>
          <w:sz w:val="24"/>
        </w:rPr>
      </w:pPr>
      <w:r>
        <w:rPr>
          <w:rFonts w:hint="eastAsia" w:ascii="宋体" w:hAnsi="宋体"/>
          <w:sz w:val="24"/>
        </w:rPr>
        <w:t>工程缺陷责任期为</w:t>
      </w:r>
      <w:r>
        <w:rPr>
          <w:rFonts w:ascii="宋体" w:hAnsi="宋体"/>
          <w:sz w:val="24"/>
        </w:rPr>
        <w:t>24</w:t>
      </w:r>
      <w:r>
        <w:rPr>
          <w:rFonts w:hint="eastAsia" w:ascii="宋体" w:hAnsi="宋体"/>
          <w:sz w:val="24"/>
        </w:rPr>
        <w:t>个月，缺陷责任期自工程竣工验收合格之日起计算。单位工程先于全部工程进行验收，单位工程缺陷责任期自单位工程验收合格之日起算。</w:t>
      </w:r>
      <w:r>
        <w:rPr>
          <w:rFonts w:ascii="宋体" w:hAnsi="宋体"/>
          <w:sz w:val="24"/>
        </w:rPr>
        <w:t xml:space="preserve"> </w:t>
      </w:r>
    </w:p>
    <w:p>
      <w:pPr>
        <w:pStyle w:val="71"/>
        <w:spacing w:line="460" w:lineRule="exact"/>
        <w:ind w:firstLine="480" w:firstLineChars="200"/>
        <w:rPr>
          <w:rFonts w:ascii="宋体" w:hAnsi="宋体"/>
          <w:sz w:val="24"/>
        </w:rPr>
      </w:pPr>
      <w:r>
        <w:rPr>
          <w:rFonts w:hint="eastAsia" w:ascii="宋体" w:hAnsi="宋体"/>
          <w:sz w:val="24"/>
        </w:rPr>
        <w:t>缺陷责任期终止后，发包人应退还剩余的质量保证金。</w:t>
      </w:r>
      <w:r>
        <w:rPr>
          <w:rFonts w:ascii="宋体" w:hAnsi="宋体"/>
          <w:sz w:val="24"/>
        </w:rPr>
        <w:t xml:space="preserve"> </w:t>
      </w:r>
    </w:p>
    <w:p>
      <w:pPr>
        <w:pStyle w:val="71"/>
        <w:spacing w:line="460" w:lineRule="exact"/>
        <w:ind w:firstLine="480" w:firstLineChars="200"/>
        <w:outlineLvl w:val="0"/>
        <w:rPr>
          <w:rFonts w:ascii="宋体" w:hAnsi="宋体"/>
          <w:sz w:val="24"/>
        </w:rPr>
      </w:pPr>
      <w:r>
        <w:rPr>
          <w:rFonts w:ascii="宋体" w:hAnsi="宋体"/>
          <w:sz w:val="24"/>
        </w:rPr>
        <w:t xml:space="preserve"> </w:t>
      </w:r>
      <w:bookmarkStart w:id="562" w:name="_Toc6234"/>
      <w:bookmarkStart w:id="563" w:name="_Toc9008"/>
      <w:bookmarkStart w:id="564" w:name="_Toc13328"/>
      <w:bookmarkStart w:id="565" w:name="_Toc2435"/>
      <w:bookmarkStart w:id="566" w:name="_Toc23893"/>
      <w:bookmarkStart w:id="567" w:name="_Toc6682"/>
      <w:bookmarkStart w:id="568" w:name="_Toc14848"/>
      <w:bookmarkStart w:id="569" w:name="_Toc5824"/>
      <w:r>
        <w:rPr>
          <w:rFonts w:hint="eastAsia" w:ascii="宋体" w:hAnsi="宋体"/>
          <w:sz w:val="24"/>
        </w:rPr>
        <w:t>四、质量保修责任</w:t>
      </w:r>
      <w:bookmarkEnd w:id="562"/>
      <w:bookmarkEnd w:id="563"/>
      <w:bookmarkEnd w:id="564"/>
      <w:bookmarkEnd w:id="565"/>
      <w:bookmarkEnd w:id="566"/>
      <w:bookmarkEnd w:id="567"/>
      <w:bookmarkEnd w:id="568"/>
      <w:bookmarkEnd w:id="569"/>
      <w:r>
        <w:rPr>
          <w:rFonts w:ascii="宋体" w:hAnsi="宋体"/>
          <w:sz w:val="24"/>
        </w:rPr>
        <w:t xml:space="preserve"> </w:t>
      </w:r>
    </w:p>
    <w:p>
      <w:pPr>
        <w:pStyle w:val="71"/>
        <w:spacing w:line="460" w:lineRule="exact"/>
        <w:ind w:firstLine="480" w:firstLineChars="200"/>
        <w:rPr>
          <w:rFonts w:ascii="宋体" w:hAnsi="宋体"/>
          <w:sz w:val="24"/>
        </w:rPr>
      </w:pPr>
      <w:r>
        <w:rPr>
          <w:rFonts w:ascii="宋体" w:hAnsi="宋体"/>
          <w:sz w:val="24"/>
        </w:rPr>
        <w:t>1</w:t>
      </w:r>
      <w:r>
        <w:rPr>
          <w:rFonts w:hint="eastAsia" w:ascii="宋体" w:hAnsi="宋体"/>
          <w:sz w:val="24"/>
        </w:rPr>
        <w:t>．属于保修范围、内容的项目，承包人应当在接到保修通知之日起</w:t>
      </w:r>
      <w:r>
        <w:rPr>
          <w:rFonts w:ascii="宋体" w:hAnsi="宋体"/>
          <w:sz w:val="24"/>
        </w:rPr>
        <w:t xml:space="preserve"> 7</w:t>
      </w:r>
      <w:r>
        <w:rPr>
          <w:rFonts w:hint="eastAsia" w:ascii="宋体" w:hAnsi="宋体"/>
          <w:sz w:val="24"/>
        </w:rPr>
        <w:t>天内派人保修。承包人不在约定期限内派人保修的，发包人可以委托他人修理。修理费用在质量保证金中扣付。</w:t>
      </w:r>
      <w:r>
        <w:rPr>
          <w:rFonts w:ascii="宋体" w:hAnsi="宋体"/>
          <w:sz w:val="24"/>
        </w:rPr>
        <w:t xml:space="preserve"> </w:t>
      </w:r>
    </w:p>
    <w:p>
      <w:pPr>
        <w:pStyle w:val="71"/>
        <w:spacing w:line="460" w:lineRule="exact"/>
        <w:ind w:firstLine="480" w:firstLineChars="200"/>
        <w:rPr>
          <w:rFonts w:ascii="宋体" w:hAnsi="宋体"/>
          <w:sz w:val="24"/>
        </w:rPr>
      </w:pPr>
      <w:r>
        <w:rPr>
          <w:rFonts w:ascii="宋体" w:hAnsi="宋体"/>
          <w:sz w:val="24"/>
        </w:rPr>
        <w:t>2</w:t>
      </w:r>
      <w:r>
        <w:rPr>
          <w:rFonts w:hint="eastAsia" w:ascii="宋体" w:hAnsi="宋体"/>
          <w:sz w:val="24"/>
        </w:rPr>
        <w:t>．发生紧急事故需抢修的，承包人在接到事故通知后，应当立即到达事故现场抢修。</w:t>
      </w:r>
      <w:r>
        <w:rPr>
          <w:rFonts w:ascii="宋体" w:hAnsi="宋体"/>
          <w:sz w:val="24"/>
        </w:rPr>
        <w:t xml:space="preserve"> </w:t>
      </w:r>
    </w:p>
    <w:p>
      <w:pPr>
        <w:pStyle w:val="71"/>
        <w:spacing w:line="460" w:lineRule="exact"/>
        <w:ind w:firstLine="480" w:firstLineChars="200"/>
        <w:rPr>
          <w:rFonts w:ascii="宋体" w:hAnsi="宋体"/>
          <w:sz w:val="24"/>
        </w:rPr>
      </w:pPr>
      <w:r>
        <w:rPr>
          <w:rFonts w:ascii="宋体" w:hAnsi="宋体"/>
          <w:sz w:val="24"/>
        </w:rPr>
        <w:t>3</w:t>
      </w:r>
      <w:r>
        <w:rPr>
          <w:rFonts w:hint="eastAsia" w:ascii="宋体" w:hAnsi="宋体"/>
          <w:sz w:val="24"/>
        </w:rPr>
        <w:t>．</w:t>
      </w:r>
      <w:r>
        <w:rPr>
          <w:rFonts w:ascii="宋体" w:hAnsi="宋体"/>
          <w:sz w:val="24"/>
        </w:rPr>
        <w:t xml:space="preserve"> </w:t>
      </w:r>
      <w:r>
        <w:rPr>
          <w:rFonts w:hint="eastAsia" w:ascii="宋体" w:hAnsi="宋体"/>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r>
        <w:rPr>
          <w:rFonts w:ascii="宋体" w:hAnsi="宋体"/>
          <w:sz w:val="24"/>
        </w:rPr>
        <w:t xml:space="preserve"> </w:t>
      </w:r>
    </w:p>
    <w:p>
      <w:pPr>
        <w:pStyle w:val="71"/>
        <w:spacing w:line="460" w:lineRule="exact"/>
        <w:ind w:firstLine="480" w:firstLineChars="200"/>
        <w:rPr>
          <w:rFonts w:ascii="宋体" w:hAnsi="宋体"/>
          <w:sz w:val="24"/>
        </w:rPr>
      </w:pPr>
      <w:r>
        <w:rPr>
          <w:rFonts w:ascii="宋体" w:hAnsi="宋体"/>
          <w:sz w:val="24"/>
        </w:rPr>
        <w:t>4</w:t>
      </w:r>
      <w:r>
        <w:rPr>
          <w:rFonts w:hint="eastAsia" w:ascii="宋体" w:hAnsi="宋体"/>
          <w:sz w:val="24"/>
        </w:rPr>
        <w:t>．质量保修完成后，由发包人组织验收。</w:t>
      </w:r>
      <w:r>
        <w:rPr>
          <w:rFonts w:ascii="宋体" w:hAnsi="宋体"/>
          <w:sz w:val="24"/>
        </w:rPr>
        <w:t xml:space="preserve"> </w:t>
      </w:r>
    </w:p>
    <w:p>
      <w:pPr>
        <w:pStyle w:val="71"/>
        <w:spacing w:line="460" w:lineRule="exact"/>
        <w:ind w:firstLine="480" w:firstLineChars="200"/>
        <w:outlineLvl w:val="0"/>
        <w:rPr>
          <w:rFonts w:ascii="宋体" w:hAnsi="宋体"/>
          <w:sz w:val="24"/>
        </w:rPr>
      </w:pPr>
      <w:bookmarkStart w:id="570" w:name="_Toc1641"/>
      <w:bookmarkStart w:id="571" w:name="_Toc19648"/>
      <w:bookmarkStart w:id="572" w:name="_Toc25986"/>
      <w:bookmarkStart w:id="573" w:name="_Toc27722"/>
      <w:bookmarkStart w:id="574" w:name="_Toc20363"/>
      <w:bookmarkStart w:id="575" w:name="_Toc29853"/>
      <w:bookmarkStart w:id="576" w:name="_Toc32237"/>
      <w:bookmarkStart w:id="577" w:name="_Toc2727"/>
      <w:r>
        <w:rPr>
          <w:rFonts w:hint="eastAsia" w:ascii="宋体" w:hAnsi="宋体"/>
          <w:sz w:val="24"/>
        </w:rPr>
        <w:t>五、保修费用</w:t>
      </w:r>
      <w:bookmarkEnd w:id="570"/>
      <w:bookmarkEnd w:id="571"/>
      <w:bookmarkEnd w:id="572"/>
      <w:bookmarkEnd w:id="573"/>
      <w:bookmarkEnd w:id="574"/>
      <w:bookmarkEnd w:id="575"/>
      <w:bookmarkEnd w:id="576"/>
      <w:bookmarkEnd w:id="577"/>
      <w:r>
        <w:rPr>
          <w:rFonts w:ascii="宋体" w:hAnsi="宋体"/>
          <w:sz w:val="24"/>
        </w:rPr>
        <w:t xml:space="preserve"> </w:t>
      </w:r>
    </w:p>
    <w:p>
      <w:pPr>
        <w:pStyle w:val="71"/>
        <w:spacing w:line="460" w:lineRule="exact"/>
        <w:ind w:firstLine="480" w:firstLineChars="200"/>
        <w:rPr>
          <w:rFonts w:ascii="宋体" w:hAnsi="宋体"/>
          <w:sz w:val="24"/>
        </w:rPr>
      </w:pPr>
      <w:r>
        <w:rPr>
          <w:rFonts w:hint="eastAsia" w:ascii="宋体" w:hAnsi="宋体"/>
          <w:sz w:val="24"/>
        </w:rPr>
        <w:t>保修费用由造成质量缺陷的责任方承担。</w:t>
      </w:r>
      <w:r>
        <w:rPr>
          <w:rFonts w:ascii="宋体" w:hAnsi="宋体"/>
          <w:sz w:val="24"/>
        </w:rPr>
        <w:t xml:space="preserve"> </w:t>
      </w:r>
    </w:p>
    <w:p>
      <w:pPr>
        <w:pStyle w:val="71"/>
        <w:spacing w:line="460" w:lineRule="exact"/>
        <w:ind w:firstLine="480" w:firstLineChars="200"/>
        <w:outlineLvl w:val="0"/>
        <w:rPr>
          <w:rFonts w:ascii="宋体" w:hAnsi="宋体"/>
          <w:sz w:val="24"/>
          <w:u w:val="single"/>
        </w:rPr>
      </w:pPr>
      <w:bookmarkStart w:id="578" w:name="_Toc7350"/>
      <w:bookmarkStart w:id="579" w:name="_Toc31554"/>
      <w:bookmarkStart w:id="580" w:name="_Toc3348"/>
      <w:bookmarkStart w:id="581" w:name="_Toc14897"/>
      <w:bookmarkStart w:id="582" w:name="_Toc24351"/>
      <w:bookmarkStart w:id="583" w:name="_Toc30616"/>
      <w:bookmarkStart w:id="584" w:name="_Toc20736"/>
      <w:bookmarkStart w:id="585" w:name="_Toc1815"/>
      <w:r>
        <w:rPr>
          <w:rFonts w:hint="eastAsia" w:ascii="宋体" w:hAnsi="宋体"/>
          <w:sz w:val="24"/>
        </w:rPr>
        <w:t>六、双方约定的其他工程质量保修事项：</w:t>
      </w:r>
      <w:r>
        <w:rPr>
          <w:rFonts w:hint="eastAsia" w:ascii="宋体" w:hAnsi="宋体"/>
          <w:sz w:val="24"/>
          <w:u w:val="single"/>
        </w:rPr>
        <w:t>工程质量保修满两年后经双方检查无维修项目</w:t>
      </w:r>
      <w:r>
        <w:rPr>
          <w:rFonts w:ascii="宋体" w:hAnsi="宋体"/>
          <w:sz w:val="24"/>
          <w:u w:val="single"/>
        </w:rPr>
        <w:t>14</w:t>
      </w:r>
      <w:r>
        <w:rPr>
          <w:rFonts w:hint="eastAsia" w:ascii="宋体" w:hAnsi="宋体"/>
          <w:sz w:val="24"/>
          <w:u w:val="single"/>
        </w:rPr>
        <w:t>天内返还质量保证金（无息）</w:t>
      </w:r>
      <w:r>
        <w:rPr>
          <w:rFonts w:hint="eastAsia" w:ascii="宋体" w:hAnsi="宋体"/>
          <w:sz w:val="24"/>
        </w:rPr>
        <w:t>。</w:t>
      </w:r>
      <w:bookmarkEnd w:id="578"/>
      <w:bookmarkEnd w:id="579"/>
      <w:bookmarkEnd w:id="580"/>
      <w:bookmarkEnd w:id="581"/>
      <w:bookmarkEnd w:id="582"/>
      <w:bookmarkEnd w:id="583"/>
      <w:bookmarkEnd w:id="584"/>
      <w:bookmarkEnd w:id="585"/>
    </w:p>
    <w:p>
      <w:pPr>
        <w:pStyle w:val="71"/>
        <w:spacing w:line="460" w:lineRule="exact"/>
        <w:ind w:firstLine="480" w:firstLineChars="200"/>
        <w:rPr>
          <w:rFonts w:ascii="宋体" w:hAnsi="宋体"/>
          <w:sz w:val="24"/>
        </w:rPr>
      </w:pPr>
      <w:r>
        <w:rPr>
          <w:rFonts w:hint="eastAsia" w:ascii="宋体" w:hAnsi="宋体"/>
          <w:sz w:val="24"/>
        </w:rPr>
        <w:t>工程质量保修书由发包人、承包人在工程竣工验收前共同签署，作为施工合同附件，其有效期限至保修期满。</w:t>
      </w:r>
    </w:p>
    <w:p>
      <w:pPr>
        <w:pStyle w:val="71"/>
        <w:spacing w:line="460" w:lineRule="exact"/>
        <w:ind w:firstLine="480" w:firstLineChars="200"/>
        <w:rPr>
          <w:rFonts w:ascii="宋体" w:hAnsi="宋体"/>
          <w:sz w:val="24"/>
        </w:rPr>
      </w:pPr>
    </w:p>
    <w:p>
      <w:pPr>
        <w:pStyle w:val="71"/>
        <w:spacing w:line="460" w:lineRule="exact"/>
        <w:rPr>
          <w:rFonts w:ascii="宋体" w:hAnsi="宋体"/>
          <w:sz w:val="24"/>
        </w:rPr>
      </w:pPr>
      <w:r>
        <w:rPr>
          <w:rFonts w:hint="eastAsia" w:ascii="宋体" w:hAnsi="宋体"/>
          <w:sz w:val="24"/>
        </w:rPr>
        <w:t>发包人</w:t>
      </w:r>
      <w:r>
        <w:rPr>
          <w:rFonts w:ascii="宋体" w:hAnsi="宋体"/>
          <w:sz w:val="24"/>
        </w:rPr>
        <w:t>(</w:t>
      </w:r>
      <w:r>
        <w:rPr>
          <w:rFonts w:hint="eastAsia" w:ascii="宋体" w:hAnsi="宋体"/>
          <w:sz w:val="24"/>
        </w:rPr>
        <w:t>公章</w:t>
      </w:r>
      <w:r>
        <w:rPr>
          <w:rFonts w:ascii="宋体" w:hAnsi="宋体"/>
          <w:sz w:val="24"/>
        </w:rPr>
        <w:t>)</w:t>
      </w:r>
      <w:r>
        <w:rPr>
          <w:rFonts w:hint="eastAsia" w:ascii="宋体" w:hAnsi="宋体"/>
          <w:sz w:val="24"/>
        </w:rPr>
        <w:t>：</w:t>
      </w:r>
      <w:r>
        <w:rPr>
          <w:rFonts w:ascii="宋体" w:hAnsi="宋体"/>
          <w:sz w:val="24"/>
        </w:rPr>
        <w:t xml:space="preserve">                    </w:t>
      </w:r>
      <w:r>
        <w:rPr>
          <w:rFonts w:hint="eastAsia" w:ascii="宋体" w:hAnsi="宋体"/>
          <w:sz w:val="24"/>
        </w:rPr>
        <w:t>承包人</w:t>
      </w:r>
      <w:r>
        <w:rPr>
          <w:rFonts w:ascii="宋体" w:hAnsi="宋体"/>
          <w:sz w:val="24"/>
        </w:rPr>
        <w:t>(</w:t>
      </w:r>
      <w:r>
        <w:rPr>
          <w:rFonts w:hint="eastAsia" w:ascii="宋体" w:hAnsi="宋体"/>
          <w:sz w:val="24"/>
        </w:rPr>
        <w:t>公章</w:t>
      </w:r>
      <w:r>
        <w:rPr>
          <w:rFonts w:ascii="宋体" w:hAnsi="宋体"/>
          <w:sz w:val="24"/>
        </w:rPr>
        <w:t>)</w:t>
      </w:r>
      <w:r>
        <w:rPr>
          <w:rFonts w:hint="eastAsia" w:ascii="宋体" w:hAnsi="宋体"/>
          <w:sz w:val="24"/>
        </w:rPr>
        <w:t>：</w:t>
      </w:r>
      <w:r>
        <w:rPr>
          <w:rFonts w:ascii="宋体" w:hAnsi="宋体"/>
          <w:sz w:val="24"/>
        </w:rPr>
        <w:t xml:space="preserve">  </w:t>
      </w:r>
    </w:p>
    <w:p>
      <w:pPr>
        <w:pStyle w:val="71"/>
        <w:spacing w:line="460" w:lineRule="exact"/>
        <w:rPr>
          <w:rFonts w:ascii="宋体" w:hAnsi="宋体"/>
          <w:sz w:val="24"/>
        </w:rPr>
      </w:pPr>
      <w:r>
        <w:rPr>
          <w:rFonts w:hint="eastAsia" w:ascii="宋体" w:hAnsi="宋体"/>
          <w:sz w:val="24"/>
        </w:rPr>
        <w:t>地</w:t>
      </w:r>
      <w:r>
        <w:rPr>
          <w:rFonts w:ascii="宋体" w:hAnsi="宋体"/>
          <w:sz w:val="24"/>
        </w:rPr>
        <w:t xml:space="preserve">  </w:t>
      </w:r>
      <w:r>
        <w:rPr>
          <w:rFonts w:hint="eastAsia" w:ascii="宋体" w:hAnsi="宋体"/>
          <w:sz w:val="24"/>
        </w:rPr>
        <w:t>址：</w:t>
      </w:r>
      <w:r>
        <w:rPr>
          <w:rFonts w:ascii="宋体" w:hAnsi="宋体"/>
          <w:sz w:val="24"/>
        </w:rPr>
        <w:t xml:space="preserve">                          </w:t>
      </w:r>
      <w:r>
        <w:rPr>
          <w:rFonts w:hint="eastAsia" w:ascii="宋体" w:hAnsi="宋体"/>
          <w:sz w:val="24"/>
        </w:rPr>
        <w:t>地</w:t>
      </w:r>
      <w:r>
        <w:rPr>
          <w:rFonts w:ascii="宋体" w:hAnsi="宋体"/>
          <w:sz w:val="24"/>
        </w:rPr>
        <w:t xml:space="preserve">  </w:t>
      </w:r>
      <w:r>
        <w:rPr>
          <w:rFonts w:hint="eastAsia" w:ascii="宋体" w:hAnsi="宋体"/>
          <w:sz w:val="24"/>
        </w:rPr>
        <w:t>址：</w:t>
      </w:r>
      <w:r>
        <w:rPr>
          <w:rFonts w:ascii="宋体" w:hAnsi="宋体"/>
          <w:sz w:val="24"/>
        </w:rPr>
        <w:t xml:space="preserve">   </w:t>
      </w:r>
    </w:p>
    <w:p>
      <w:pPr>
        <w:pStyle w:val="71"/>
        <w:spacing w:line="460" w:lineRule="exact"/>
        <w:rPr>
          <w:rFonts w:ascii="宋体" w:hAnsi="宋体"/>
          <w:sz w:val="24"/>
        </w:rPr>
      </w:pPr>
      <w:r>
        <w:rPr>
          <w:rFonts w:hint="eastAsia" w:ascii="宋体" w:hAnsi="宋体"/>
          <w:sz w:val="24"/>
        </w:rPr>
        <w:t>法定代表人</w:t>
      </w:r>
      <w:r>
        <w:rPr>
          <w:rFonts w:ascii="宋体" w:hAnsi="宋体"/>
          <w:sz w:val="24"/>
        </w:rPr>
        <w:t>(</w:t>
      </w:r>
      <w:r>
        <w:rPr>
          <w:rFonts w:hint="eastAsia" w:ascii="宋体" w:hAnsi="宋体"/>
          <w:sz w:val="24"/>
        </w:rPr>
        <w:t>签字</w:t>
      </w:r>
      <w:r>
        <w:rPr>
          <w:rFonts w:ascii="宋体" w:hAnsi="宋体"/>
          <w:sz w:val="24"/>
        </w:rPr>
        <w:t>)</w:t>
      </w:r>
      <w:r>
        <w:rPr>
          <w:rFonts w:hint="eastAsia" w:ascii="宋体" w:hAnsi="宋体"/>
          <w:sz w:val="24"/>
        </w:rPr>
        <w:t>：</w:t>
      </w:r>
      <w:r>
        <w:rPr>
          <w:rFonts w:ascii="宋体" w:hAnsi="宋体"/>
          <w:sz w:val="24"/>
        </w:rPr>
        <w:t xml:space="preserve">                </w:t>
      </w:r>
      <w:r>
        <w:rPr>
          <w:rFonts w:hint="eastAsia" w:ascii="宋体" w:hAnsi="宋体"/>
          <w:sz w:val="24"/>
        </w:rPr>
        <w:t>法定代表人</w:t>
      </w:r>
      <w:r>
        <w:rPr>
          <w:rFonts w:ascii="宋体" w:hAnsi="宋体"/>
          <w:sz w:val="24"/>
        </w:rPr>
        <w:t>(</w:t>
      </w:r>
      <w:r>
        <w:rPr>
          <w:rFonts w:hint="eastAsia" w:ascii="宋体" w:hAnsi="宋体"/>
          <w:sz w:val="24"/>
        </w:rPr>
        <w:t>签字</w:t>
      </w:r>
      <w:r>
        <w:rPr>
          <w:rFonts w:ascii="宋体" w:hAnsi="宋体"/>
          <w:sz w:val="24"/>
        </w:rPr>
        <w:t>)</w:t>
      </w:r>
      <w:r>
        <w:rPr>
          <w:rFonts w:hint="eastAsia" w:ascii="宋体" w:hAnsi="宋体"/>
          <w:sz w:val="24"/>
        </w:rPr>
        <w:t>：</w:t>
      </w:r>
    </w:p>
    <w:p>
      <w:pPr>
        <w:pStyle w:val="71"/>
        <w:spacing w:line="460" w:lineRule="exact"/>
        <w:rPr>
          <w:rFonts w:ascii="宋体" w:hAnsi="宋体"/>
          <w:sz w:val="24"/>
        </w:rPr>
      </w:pPr>
      <w:r>
        <w:rPr>
          <w:rFonts w:hint="eastAsia" w:ascii="宋体" w:hAnsi="宋体"/>
          <w:sz w:val="24"/>
        </w:rPr>
        <w:t>委托代理人</w:t>
      </w:r>
      <w:r>
        <w:rPr>
          <w:rFonts w:ascii="宋体" w:hAnsi="宋体"/>
          <w:sz w:val="24"/>
        </w:rPr>
        <w:t>(</w:t>
      </w:r>
      <w:r>
        <w:rPr>
          <w:rFonts w:hint="eastAsia" w:ascii="宋体" w:hAnsi="宋体"/>
          <w:sz w:val="24"/>
        </w:rPr>
        <w:t>签字</w:t>
      </w:r>
      <w:r>
        <w:rPr>
          <w:rFonts w:ascii="宋体" w:hAnsi="宋体"/>
          <w:sz w:val="24"/>
        </w:rPr>
        <w:t>)</w:t>
      </w:r>
      <w:r>
        <w:rPr>
          <w:rFonts w:hint="eastAsia" w:ascii="宋体" w:hAnsi="宋体"/>
          <w:sz w:val="24"/>
        </w:rPr>
        <w:t>：</w:t>
      </w:r>
      <w:r>
        <w:rPr>
          <w:rFonts w:ascii="宋体" w:hAnsi="宋体"/>
          <w:sz w:val="24"/>
        </w:rPr>
        <w:t xml:space="preserve">                </w:t>
      </w:r>
      <w:r>
        <w:rPr>
          <w:rFonts w:hint="eastAsia" w:ascii="宋体" w:hAnsi="宋体"/>
          <w:sz w:val="24"/>
        </w:rPr>
        <w:t>委托代理人</w:t>
      </w:r>
      <w:r>
        <w:rPr>
          <w:rFonts w:ascii="宋体" w:hAnsi="宋体"/>
          <w:sz w:val="24"/>
        </w:rPr>
        <w:t>(</w:t>
      </w:r>
      <w:r>
        <w:rPr>
          <w:rFonts w:hint="eastAsia" w:ascii="宋体" w:hAnsi="宋体"/>
          <w:sz w:val="24"/>
        </w:rPr>
        <w:t>签字</w:t>
      </w:r>
      <w:r>
        <w:rPr>
          <w:rFonts w:ascii="宋体" w:hAnsi="宋体"/>
          <w:sz w:val="24"/>
        </w:rPr>
        <w:t>)</w:t>
      </w:r>
      <w:r>
        <w:rPr>
          <w:rFonts w:hint="eastAsia" w:ascii="宋体" w:hAnsi="宋体"/>
          <w:sz w:val="24"/>
        </w:rPr>
        <w:t>：</w:t>
      </w:r>
    </w:p>
    <w:p>
      <w:pPr>
        <w:pStyle w:val="71"/>
        <w:spacing w:line="460" w:lineRule="exact"/>
        <w:rPr>
          <w:rFonts w:ascii="宋体" w:hAnsi="宋体"/>
          <w:sz w:val="24"/>
        </w:rPr>
      </w:pPr>
      <w:r>
        <w:rPr>
          <w:rFonts w:hint="eastAsia" w:ascii="宋体" w:hAnsi="宋体"/>
          <w:sz w:val="24"/>
        </w:rPr>
        <w:t>电</w:t>
      </w:r>
      <w:r>
        <w:rPr>
          <w:rFonts w:ascii="宋体" w:hAnsi="宋体"/>
          <w:sz w:val="24"/>
        </w:rPr>
        <w:t xml:space="preserve">  </w:t>
      </w:r>
      <w:r>
        <w:rPr>
          <w:rFonts w:hint="eastAsia" w:ascii="宋体" w:hAnsi="宋体"/>
          <w:sz w:val="24"/>
        </w:rPr>
        <w:t>话：</w:t>
      </w:r>
      <w:r>
        <w:rPr>
          <w:rFonts w:ascii="宋体" w:hAnsi="宋体"/>
          <w:sz w:val="24"/>
        </w:rPr>
        <w:t xml:space="preserve">                          </w:t>
      </w:r>
      <w:r>
        <w:rPr>
          <w:rFonts w:hint="eastAsia" w:ascii="宋体" w:hAnsi="宋体"/>
          <w:sz w:val="24"/>
        </w:rPr>
        <w:t>电</w:t>
      </w:r>
      <w:r>
        <w:rPr>
          <w:rFonts w:ascii="宋体" w:hAnsi="宋体"/>
          <w:sz w:val="24"/>
        </w:rPr>
        <w:t xml:space="preserve">  </w:t>
      </w:r>
      <w:r>
        <w:rPr>
          <w:rFonts w:hint="eastAsia" w:ascii="宋体" w:hAnsi="宋体"/>
          <w:sz w:val="24"/>
        </w:rPr>
        <w:t>话：</w:t>
      </w:r>
      <w:r>
        <w:rPr>
          <w:rFonts w:ascii="宋体" w:hAnsi="宋体"/>
          <w:sz w:val="24"/>
        </w:rPr>
        <w:t xml:space="preserve">  </w:t>
      </w:r>
    </w:p>
    <w:p>
      <w:pPr>
        <w:pStyle w:val="71"/>
        <w:spacing w:line="460" w:lineRule="exact"/>
        <w:rPr>
          <w:rFonts w:ascii="宋体" w:hAnsi="宋体"/>
          <w:sz w:val="24"/>
        </w:rPr>
      </w:pPr>
      <w:r>
        <w:rPr>
          <w:rFonts w:hint="eastAsia" w:ascii="宋体" w:hAnsi="宋体"/>
          <w:sz w:val="24"/>
        </w:rPr>
        <w:t>传</w:t>
      </w:r>
      <w:r>
        <w:rPr>
          <w:rFonts w:ascii="宋体" w:hAnsi="宋体"/>
          <w:sz w:val="24"/>
        </w:rPr>
        <w:t xml:space="preserve">  </w:t>
      </w:r>
      <w:r>
        <w:rPr>
          <w:rFonts w:hint="eastAsia" w:ascii="宋体" w:hAnsi="宋体"/>
          <w:sz w:val="24"/>
        </w:rPr>
        <w:t>真：</w:t>
      </w:r>
      <w:r>
        <w:rPr>
          <w:rFonts w:ascii="宋体" w:hAnsi="宋体"/>
          <w:sz w:val="24"/>
        </w:rPr>
        <w:t xml:space="preserve">                          </w:t>
      </w:r>
      <w:r>
        <w:rPr>
          <w:rFonts w:hint="eastAsia" w:ascii="宋体" w:hAnsi="宋体"/>
          <w:sz w:val="24"/>
        </w:rPr>
        <w:t>传</w:t>
      </w:r>
      <w:r>
        <w:rPr>
          <w:rFonts w:ascii="宋体" w:hAnsi="宋体"/>
          <w:sz w:val="24"/>
        </w:rPr>
        <w:t xml:space="preserve">  </w:t>
      </w:r>
      <w:r>
        <w:rPr>
          <w:rFonts w:hint="eastAsia" w:ascii="宋体" w:hAnsi="宋体"/>
          <w:sz w:val="24"/>
        </w:rPr>
        <w:t>真：</w:t>
      </w:r>
      <w:r>
        <w:rPr>
          <w:rFonts w:ascii="宋体" w:hAnsi="宋体"/>
          <w:sz w:val="24"/>
        </w:rPr>
        <w:t xml:space="preserve">  </w:t>
      </w:r>
    </w:p>
    <w:p>
      <w:pPr>
        <w:pStyle w:val="71"/>
        <w:spacing w:line="460" w:lineRule="exact"/>
        <w:rPr>
          <w:rFonts w:ascii="宋体" w:hAnsi="宋体"/>
          <w:sz w:val="24"/>
        </w:rPr>
      </w:pPr>
      <w:r>
        <w:rPr>
          <w:rFonts w:hint="eastAsia" w:ascii="宋体" w:hAnsi="宋体"/>
          <w:sz w:val="24"/>
        </w:rPr>
        <w:t>开户银行：</w:t>
      </w:r>
      <w:r>
        <w:rPr>
          <w:rFonts w:ascii="宋体" w:hAnsi="宋体"/>
          <w:sz w:val="24"/>
        </w:rPr>
        <w:t xml:space="preserve">                        </w:t>
      </w:r>
      <w:r>
        <w:rPr>
          <w:rFonts w:hint="eastAsia" w:ascii="宋体" w:hAnsi="宋体"/>
          <w:sz w:val="24"/>
        </w:rPr>
        <w:t>开户银行：</w:t>
      </w:r>
      <w:r>
        <w:rPr>
          <w:rFonts w:ascii="宋体" w:hAnsi="宋体"/>
          <w:sz w:val="24"/>
        </w:rPr>
        <w:t xml:space="preserve">  </w:t>
      </w:r>
    </w:p>
    <w:p>
      <w:pPr>
        <w:pStyle w:val="71"/>
        <w:spacing w:line="460" w:lineRule="exact"/>
        <w:rPr>
          <w:rFonts w:ascii="宋体" w:hAnsi="宋体"/>
          <w:sz w:val="24"/>
        </w:rPr>
      </w:pPr>
      <w:r>
        <w:rPr>
          <w:rFonts w:hint="eastAsia" w:ascii="宋体" w:hAnsi="宋体"/>
          <w:sz w:val="24"/>
        </w:rPr>
        <w:t>账</w:t>
      </w:r>
      <w:r>
        <w:rPr>
          <w:rFonts w:ascii="宋体" w:hAnsi="宋体"/>
          <w:sz w:val="24"/>
        </w:rPr>
        <w:t xml:space="preserve">  </w:t>
      </w:r>
      <w:r>
        <w:rPr>
          <w:rFonts w:hint="eastAsia" w:ascii="宋体" w:hAnsi="宋体"/>
          <w:sz w:val="24"/>
        </w:rPr>
        <w:t>号：</w:t>
      </w:r>
      <w:r>
        <w:rPr>
          <w:rFonts w:ascii="宋体" w:hAnsi="宋体"/>
          <w:sz w:val="24"/>
        </w:rPr>
        <w:t xml:space="preserve">                          </w:t>
      </w:r>
      <w:r>
        <w:rPr>
          <w:rFonts w:hint="eastAsia" w:ascii="宋体" w:hAnsi="宋体"/>
          <w:sz w:val="24"/>
        </w:rPr>
        <w:t>账</w:t>
      </w:r>
      <w:r>
        <w:rPr>
          <w:rFonts w:ascii="宋体" w:hAnsi="宋体"/>
          <w:sz w:val="24"/>
        </w:rPr>
        <w:t xml:space="preserve">  </w:t>
      </w:r>
      <w:r>
        <w:rPr>
          <w:rFonts w:hint="eastAsia" w:ascii="宋体" w:hAnsi="宋体"/>
          <w:sz w:val="24"/>
        </w:rPr>
        <w:t>号：</w:t>
      </w:r>
      <w:r>
        <w:rPr>
          <w:rFonts w:ascii="宋体" w:hAnsi="宋体"/>
          <w:sz w:val="24"/>
        </w:rPr>
        <w:t xml:space="preserve">  </w:t>
      </w:r>
    </w:p>
    <w:p>
      <w:pPr>
        <w:pStyle w:val="127"/>
        <w:widowControl/>
        <w:spacing w:line="460" w:lineRule="exact"/>
        <w:jc w:val="left"/>
        <w:rPr>
          <w:rFonts w:ascii="宋体" w:hAnsi="宋体"/>
          <w:sz w:val="24"/>
        </w:rPr>
      </w:pPr>
      <w:r>
        <w:rPr>
          <w:rFonts w:hint="eastAsia" w:ascii="宋体" w:hAnsi="宋体"/>
          <w:sz w:val="24"/>
        </w:rPr>
        <w:t>邮政编码：</w:t>
      </w:r>
      <w:r>
        <w:rPr>
          <w:rFonts w:ascii="宋体" w:hAnsi="宋体"/>
          <w:sz w:val="24"/>
        </w:rPr>
        <w:t xml:space="preserve">                        </w:t>
      </w:r>
      <w:r>
        <w:rPr>
          <w:rFonts w:hint="eastAsia" w:ascii="宋体" w:hAnsi="宋体"/>
          <w:sz w:val="24"/>
        </w:rPr>
        <w:t>邮政编码：</w:t>
      </w: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widowControl/>
        <w:spacing w:line="460" w:lineRule="exact"/>
        <w:ind w:firstLine="1680" w:firstLineChars="800"/>
        <w:jc w:val="left"/>
        <w:rPr>
          <w:rFonts w:ascii="宋体" w:hAnsi="宋体"/>
          <w:szCs w:val="21"/>
        </w:rPr>
      </w:pPr>
    </w:p>
    <w:p>
      <w:pPr>
        <w:pStyle w:val="127"/>
        <w:autoSpaceDE w:val="0"/>
        <w:autoSpaceDN w:val="0"/>
        <w:adjustRightInd w:val="0"/>
        <w:spacing w:line="460" w:lineRule="exact"/>
        <w:ind w:left="170" w:leftChars="81" w:firstLine="120" w:firstLineChars="50"/>
        <w:jc w:val="left"/>
        <w:rPr>
          <w:rFonts w:ascii="宋体" w:hAnsi="宋体" w:cs="宋体"/>
          <w:b/>
          <w:kern w:val="0"/>
          <w:sz w:val="24"/>
        </w:rPr>
      </w:pPr>
      <w:r>
        <w:rPr>
          <w:rFonts w:hint="eastAsia" w:ascii="宋体" w:hAnsi="宋体" w:cs="宋体"/>
          <w:b/>
          <w:kern w:val="0"/>
          <w:sz w:val="24"/>
        </w:rPr>
        <w:t>附件 3：</w:t>
      </w:r>
    </w:p>
    <w:p>
      <w:pPr>
        <w:pStyle w:val="127"/>
        <w:autoSpaceDE w:val="0"/>
        <w:autoSpaceDN w:val="0"/>
        <w:adjustRightInd w:val="0"/>
        <w:spacing w:before="10" w:line="460" w:lineRule="exact"/>
        <w:jc w:val="left"/>
        <w:rPr>
          <w:rFonts w:ascii="宋体" w:hAnsi="宋体" w:cs="宋体"/>
          <w:kern w:val="0"/>
          <w:sz w:val="24"/>
        </w:rPr>
      </w:pPr>
    </w:p>
    <w:p>
      <w:pPr>
        <w:pStyle w:val="127"/>
        <w:autoSpaceDE w:val="0"/>
        <w:autoSpaceDN w:val="0"/>
        <w:adjustRightInd w:val="0"/>
        <w:spacing w:line="460" w:lineRule="exact"/>
        <w:ind w:right="-20"/>
        <w:jc w:val="center"/>
        <w:rPr>
          <w:rFonts w:ascii="宋体" w:hAnsi="宋体" w:cs="宋体"/>
          <w:b/>
          <w:kern w:val="0"/>
          <w:sz w:val="24"/>
        </w:rPr>
      </w:pPr>
      <w:r>
        <w:rPr>
          <w:rFonts w:hint="eastAsia" w:ascii="宋体" w:hAnsi="宋体" w:cs="宋体"/>
          <w:b/>
          <w:kern w:val="0"/>
          <w:sz w:val="24"/>
        </w:rPr>
        <w:t>承包人主要施工管理人员表</w:t>
      </w:r>
    </w:p>
    <w:p>
      <w:pPr>
        <w:pStyle w:val="127"/>
        <w:autoSpaceDE w:val="0"/>
        <w:autoSpaceDN w:val="0"/>
        <w:adjustRightInd w:val="0"/>
        <w:spacing w:before="2" w:line="460" w:lineRule="exact"/>
        <w:jc w:val="left"/>
        <w:rPr>
          <w:rFonts w:ascii="宋体" w:hAnsi="宋体" w:cs="宋体"/>
          <w:kern w:val="0"/>
          <w:sz w:val="24"/>
        </w:rPr>
      </w:pPr>
      <w:r>
        <w:rPr>
          <w:rFonts w:hint="eastAsia" w:ascii="宋体" w:hAnsi="宋体" w:cs="宋体"/>
          <w:kern w:val="0"/>
          <w:sz w:val="24"/>
        </w:rPr>
        <w:t xml:space="preserve"> </w:t>
      </w:r>
    </w:p>
    <w:tbl>
      <w:tblPr>
        <w:tblStyle w:val="37"/>
        <w:tblpPr w:leftFromText="180" w:rightFromText="180" w:vertAnchor="text" w:horzAnchor="page" w:tblpX="1274" w:tblpY="464"/>
        <w:tblOverlap w:val="never"/>
        <w:tblW w:w="9247" w:type="dxa"/>
        <w:tblInd w:w="-15" w:type="dxa"/>
        <w:tblLayout w:type="fixed"/>
        <w:tblCellMar>
          <w:top w:w="0" w:type="dxa"/>
          <w:left w:w="0" w:type="dxa"/>
          <w:bottom w:w="0" w:type="dxa"/>
          <w:right w:w="0" w:type="dxa"/>
        </w:tblCellMar>
      </w:tblPr>
      <w:tblGrid>
        <w:gridCol w:w="1872"/>
        <w:gridCol w:w="1417"/>
        <w:gridCol w:w="1135"/>
        <w:gridCol w:w="1133"/>
        <w:gridCol w:w="3690"/>
      </w:tblGrid>
      <w:tr>
        <w:tblPrEx>
          <w:tblCellMar>
            <w:top w:w="0" w:type="dxa"/>
            <w:left w:w="0" w:type="dxa"/>
            <w:bottom w:w="0" w:type="dxa"/>
            <w:right w:w="0" w:type="dxa"/>
          </w:tblCellMar>
        </w:tblPrEx>
        <w:trPr>
          <w:trHeight w:val="496" w:hRule="atLeast"/>
        </w:trPr>
        <w:tc>
          <w:tcPr>
            <w:tcW w:w="1872" w:type="dxa"/>
            <w:tcBorders>
              <w:top w:val="single" w:color="000000" w:sz="12"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名</w:t>
            </w:r>
            <w:r>
              <w:rPr>
                <w:rFonts w:hint="eastAsia" w:ascii="宋体" w:hAnsi="宋体" w:cs="宋体"/>
                <w:kern w:val="0"/>
                <w:sz w:val="24"/>
              </w:rPr>
              <w:tab/>
            </w:r>
            <w:r>
              <w:rPr>
                <w:rFonts w:hint="eastAsia" w:ascii="宋体" w:hAnsi="宋体" w:cs="宋体"/>
                <w:kern w:val="0"/>
                <w:sz w:val="24"/>
              </w:rPr>
              <w:t>称</w:t>
            </w:r>
          </w:p>
        </w:tc>
        <w:tc>
          <w:tcPr>
            <w:tcW w:w="1417" w:type="dxa"/>
            <w:tcBorders>
              <w:top w:val="single" w:color="000000" w:sz="12" w:space="0"/>
              <w:left w:val="nil"/>
              <w:bottom w:val="single" w:color="000000" w:sz="6" w:space="0"/>
              <w:right w:val="single" w:color="000000" w:sz="6" w:space="0"/>
            </w:tcBorders>
          </w:tcPr>
          <w:p>
            <w:pPr>
              <w:pStyle w:val="127"/>
              <w:autoSpaceDE w:val="0"/>
              <w:autoSpaceDN w:val="0"/>
              <w:adjustRightInd w:val="0"/>
              <w:spacing w:line="460" w:lineRule="exact"/>
              <w:ind w:left="419" w:right="-20"/>
              <w:jc w:val="left"/>
              <w:rPr>
                <w:rFonts w:ascii="宋体" w:hAnsi="宋体" w:cs="宋体"/>
                <w:kern w:val="0"/>
                <w:sz w:val="24"/>
              </w:rPr>
            </w:pPr>
            <w:r>
              <w:rPr>
                <w:rFonts w:hint="eastAsia" w:ascii="宋体" w:hAnsi="宋体" w:cs="宋体"/>
                <w:kern w:val="0"/>
                <w:sz w:val="24"/>
              </w:rPr>
              <w:t>姓名</w:t>
            </w:r>
          </w:p>
        </w:tc>
        <w:tc>
          <w:tcPr>
            <w:tcW w:w="1135" w:type="dxa"/>
            <w:tcBorders>
              <w:top w:val="single" w:color="000000" w:sz="12" w:space="0"/>
              <w:left w:val="nil"/>
              <w:bottom w:val="single" w:color="000000" w:sz="6" w:space="0"/>
              <w:right w:val="single" w:color="000000" w:sz="6" w:space="0"/>
            </w:tcBorders>
          </w:tcPr>
          <w:p>
            <w:pPr>
              <w:pStyle w:val="127"/>
              <w:autoSpaceDE w:val="0"/>
              <w:autoSpaceDN w:val="0"/>
              <w:adjustRightInd w:val="0"/>
              <w:spacing w:line="460" w:lineRule="exact"/>
              <w:ind w:left="280" w:right="-20"/>
              <w:jc w:val="left"/>
              <w:rPr>
                <w:rFonts w:ascii="宋体" w:hAnsi="宋体" w:cs="宋体"/>
                <w:kern w:val="0"/>
                <w:sz w:val="24"/>
              </w:rPr>
            </w:pPr>
            <w:r>
              <w:rPr>
                <w:rFonts w:hint="eastAsia" w:ascii="宋体" w:hAnsi="宋体" w:cs="宋体"/>
                <w:kern w:val="0"/>
                <w:sz w:val="24"/>
              </w:rPr>
              <w:t>职务</w:t>
            </w:r>
          </w:p>
        </w:tc>
        <w:tc>
          <w:tcPr>
            <w:tcW w:w="1133" w:type="dxa"/>
            <w:tcBorders>
              <w:top w:val="single" w:color="000000" w:sz="12" w:space="0"/>
              <w:left w:val="nil"/>
              <w:bottom w:val="single" w:color="000000" w:sz="6" w:space="0"/>
              <w:right w:val="single" w:color="000000" w:sz="6" w:space="0"/>
            </w:tcBorders>
          </w:tcPr>
          <w:p>
            <w:pPr>
              <w:pStyle w:val="127"/>
              <w:autoSpaceDE w:val="0"/>
              <w:autoSpaceDN w:val="0"/>
              <w:adjustRightInd w:val="0"/>
              <w:spacing w:line="460" w:lineRule="exact"/>
              <w:ind w:left="277" w:right="-20"/>
              <w:jc w:val="left"/>
              <w:rPr>
                <w:rFonts w:ascii="宋体" w:hAnsi="宋体" w:cs="宋体"/>
                <w:kern w:val="0"/>
                <w:sz w:val="24"/>
              </w:rPr>
            </w:pPr>
            <w:r>
              <w:rPr>
                <w:rFonts w:hint="eastAsia" w:ascii="宋体" w:hAnsi="宋体" w:cs="宋体"/>
                <w:kern w:val="0"/>
                <w:sz w:val="24"/>
              </w:rPr>
              <w:t>职称</w:t>
            </w:r>
          </w:p>
        </w:tc>
        <w:tc>
          <w:tcPr>
            <w:tcW w:w="3690" w:type="dxa"/>
            <w:tcBorders>
              <w:top w:val="single" w:color="000000" w:sz="12" w:space="0"/>
              <w:left w:val="nil"/>
              <w:bottom w:val="single" w:color="000000" w:sz="6" w:space="0"/>
              <w:right w:val="single" w:color="000000" w:sz="12" w:space="0"/>
            </w:tcBorders>
          </w:tcPr>
          <w:p>
            <w:pPr>
              <w:pStyle w:val="127"/>
              <w:autoSpaceDE w:val="0"/>
              <w:autoSpaceDN w:val="0"/>
              <w:adjustRightInd w:val="0"/>
              <w:spacing w:line="460" w:lineRule="exact"/>
              <w:ind w:left="157" w:right="-20"/>
              <w:jc w:val="left"/>
              <w:rPr>
                <w:rFonts w:ascii="宋体" w:hAnsi="宋体" w:cs="宋体"/>
                <w:kern w:val="0"/>
                <w:sz w:val="24"/>
              </w:rPr>
            </w:pPr>
            <w:r>
              <w:rPr>
                <w:rFonts w:hint="eastAsia" w:ascii="宋体" w:hAnsi="宋体" w:cs="宋体"/>
                <w:kern w:val="0"/>
                <w:sz w:val="24"/>
              </w:rPr>
              <w:t>主要资历、经验及承担过的项目</w:t>
            </w:r>
          </w:p>
        </w:tc>
      </w:tr>
      <w:tr>
        <w:tblPrEx>
          <w:tblCellMar>
            <w:top w:w="0" w:type="dxa"/>
            <w:left w:w="0" w:type="dxa"/>
            <w:bottom w:w="0" w:type="dxa"/>
            <w:right w:w="0" w:type="dxa"/>
          </w:tblCellMar>
        </w:tblPrEx>
        <w:trPr>
          <w:trHeight w:val="492" w:hRule="atLeast"/>
        </w:trPr>
        <w:tc>
          <w:tcPr>
            <w:tcW w:w="9247" w:type="dxa"/>
            <w:gridSpan w:val="5"/>
            <w:tcBorders>
              <w:top w:val="single" w:color="000000" w:sz="6" w:space="0"/>
              <w:left w:val="single" w:color="000000" w:sz="12" w:space="0"/>
              <w:bottom w:val="single" w:color="000000" w:sz="6" w:space="0"/>
              <w:right w:val="single" w:color="000000" w:sz="12" w:space="0"/>
            </w:tcBorders>
          </w:tcPr>
          <w:p>
            <w:pPr>
              <w:pStyle w:val="127"/>
              <w:autoSpaceDE w:val="0"/>
              <w:autoSpaceDN w:val="0"/>
              <w:adjustRightInd w:val="0"/>
              <w:spacing w:line="460" w:lineRule="exact"/>
              <w:ind w:right="3988"/>
              <w:rPr>
                <w:rFonts w:ascii="宋体" w:hAnsi="宋体" w:cs="宋体"/>
                <w:kern w:val="0"/>
                <w:sz w:val="24"/>
              </w:rPr>
            </w:pPr>
            <w:r>
              <w:rPr>
                <w:rFonts w:hint="eastAsia" w:ascii="宋体" w:hAnsi="宋体" w:cs="宋体"/>
                <w:kern w:val="0"/>
                <w:sz w:val="24"/>
              </w:rPr>
              <w:t>一、总部人员</w:t>
            </w: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项目主管</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vMerge w:val="restart"/>
            <w:tcBorders>
              <w:top w:val="nil"/>
              <w:left w:val="single" w:color="000000" w:sz="12" w:space="0"/>
              <w:bottom w:val="single" w:color="000000" w:sz="6" w:space="0"/>
              <w:right w:val="single" w:color="000000" w:sz="6" w:space="0"/>
            </w:tcBorders>
          </w:tcPr>
          <w:p>
            <w:pPr>
              <w:pStyle w:val="127"/>
              <w:autoSpaceDE w:val="0"/>
              <w:autoSpaceDN w:val="0"/>
              <w:adjustRightInd w:val="0"/>
              <w:spacing w:before="4" w:line="460" w:lineRule="exact"/>
              <w:jc w:val="left"/>
              <w:rPr>
                <w:rFonts w:ascii="宋体" w:hAnsi="宋体" w:cs="宋体"/>
                <w:kern w:val="0"/>
                <w:sz w:val="24"/>
              </w:rPr>
            </w:pPr>
          </w:p>
          <w:p>
            <w:pPr>
              <w:pStyle w:val="127"/>
              <w:autoSpaceDE w:val="0"/>
              <w:autoSpaceDN w:val="0"/>
              <w:adjustRightInd w:val="0"/>
              <w:spacing w:line="460" w:lineRule="exact"/>
              <w:jc w:val="left"/>
              <w:rPr>
                <w:rFonts w:ascii="宋体" w:hAnsi="宋体" w:cs="宋体"/>
                <w:kern w:val="0"/>
                <w:sz w:val="24"/>
              </w:rPr>
            </w:pPr>
          </w:p>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其他人员</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vMerge w:val="continue"/>
            <w:tcBorders>
              <w:top w:val="nil"/>
              <w:left w:val="single" w:color="000000" w:sz="12" w:space="0"/>
              <w:bottom w:val="single" w:color="000000" w:sz="6" w:space="0"/>
              <w:right w:val="single" w:color="000000" w:sz="6" w:space="0"/>
            </w:tcBorders>
            <w:vAlign w:val="center"/>
          </w:tcPr>
          <w:p>
            <w:pPr>
              <w:pStyle w:val="127"/>
              <w:widowControl/>
              <w:spacing w:line="460" w:lineRule="exact"/>
              <w:jc w:val="left"/>
              <w:rPr>
                <w:rFonts w:ascii="宋体" w:hAnsi="宋体" w:cs="宋体"/>
                <w:kern w:val="0"/>
                <w:sz w:val="24"/>
              </w:rPr>
            </w:pP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3" w:hRule="atLeast"/>
        </w:trPr>
        <w:tc>
          <w:tcPr>
            <w:tcW w:w="1872" w:type="dxa"/>
            <w:vMerge w:val="continue"/>
            <w:tcBorders>
              <w:top w:val="nil"/>
              <w:left w:val="single" w:color="000000" w:sz="12" w:space="0"/>
              <w:bottom w:val="single" w:color="000000" w:sz="6" w:space="0"/>
              <w:right w:val="single" w:color="000000" w:sz="6" w:space="0"/>
            </w:tcBorders>
            <w:vAlign w:val="center"/>
          </w:tcPr>
          <w:p>
            <w:pPr>
              <w:pStyle w:val="127"/>
              <w:widowControl/>
              <w:spacing w:line="460" w:lineRule="exact"/>
              <w:jc w:val="left"/>
              <w:rPr>
                <w:rFonts w:ascii="宋体" w:hAnsi="宋体" w:cs="宋体"/>
                <w:kern w:val="0"/>
                <w:sz w:val="24"/>
              </w:rPr>
            </w:pP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6" w:hRule="atLeast"/>
        </w:trPr>
        <w:tc>
          <w:tcPr>
            <w:tcW w:w="9247" w:type="dxa"/>
            <w:gridSpan w:val="5"/>
            <w:tcBorders>
              <w:top w:val="single" w:color="000000" w:sz="6" w:space="0"/>
              <w:left w:val="single" w:color="000000" w:sz="12" w:space="0"/>
              <w:bottom w:val="single" w:color="000000" w:sz="6" w:space="0"/>
              <w:right w:val="single" w:color="000000" w:sz="12" w:space="0"/>
            </w:tcBorders>
          </w:tcPr>
          <w:p>
            <w:pPr>
              <w:pStyle w:val="127"/>
              <w:autoSpaceDE w:val="0"/>
              <w:autoSpaceDN w:val="0"/>
              <w:adjustRightInd w:val="0"/>
              <w:spacing w:line="460" w:lineRule="exact"/>
              <w:ind w:right="3988"/>
              <w:rPr>
                <w:rFonts w:ascii="宋体" w:hAnsi="宋体" w:cs="宋体"/>
                <w:kern w:val="0"/>
                <w:sz w:val="24"/>
              </w:rPr>
            </w:pPr>
            <w:r>
              <w:rPr>
                <w:rFonts w:hint="eastAsia" w:ascii="宋体" w:hAnsi="宋体" w:cs="宋体"/>
                <w:kern w:val="0"/>
                <w:sz w:val="24"/>
              </w:rPr>
              <w:t>二、现场人员</w:t>
            </w: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项目经理</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218" w:right="-20"/>
              <w:jc w:val="left"/>
              <w:rPr>
                <w:rFonts w:ascii="宋体" w:hAnsi="宋体" w:cs="宋体"/>
                <w:kern w:val="0"/>
                <w:sz w:val="24"/>
              </w:rPr>
            </w:pPr>
            <w:r>
              <w:rPr>
                <w:rFonts w:hint="eastAsia" w:ascii="宋体" w:hAnsi="宋体" w:cs="宋体"/>
                <w:kern w:val="0"/>
                <w:sz w:val="24"/>
              </w:rPr>
              <w:t>项目副经理</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218" w:right="-20"/>
              <w:jc w:val="left"/>
              <w:rPr>
                <w:rFonts w:ascii="宋体" w:hAnsi="宋体" w:cs="宋体"/>
                <w:kern w:val="0"/>
                <w:sz w:val="24"/>
              </w:rPr>
            </w:pPr>
            <w:r>
              <w:rPr>
                <w:rFonts w:hint="eastAsia" w:ascii="宋体" w:hAnsi="宋体" w:cs="宋体"/>
                <w:kern w:val="0"/>
                <w:sz w:val="24"/>
              </w:rPr>
              <w:t>技术负责人</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造价管理</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质量管理</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材料管理</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6"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计划管理</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tcPr>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安全管理</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75" w:hRule="atLeast"/>
        </w:trPr>
        <w:tc>
          <w:tcPr>
            <w:tcW w:w="1872" w:type="dxa"/>
            <w:vMerge w:val="restart"/>
            <w:tcBorders>
              <w:top w:val="nil"/>
              <w:left w:val="single" w:color="000000" w:sz="12" w:space="0"/>
              <w:bottom w:val="single" w:color="000000" w:sz="12" w:space="0"/>
              <w:right w:val="single" w:color="000000" w:sz="6" w:space="0"/>
            </w:tcBorders>
          </w:tcPr>
          <w:p>
            <w:pPr>
              <w:pStyle w:val="127"/>
              <w:autoSpaceDE w:val="0"/>
              <w:autoSpaceDN w:val="0"/>
              <w:adjustRightInd w:val="0"/>
              <w:spacing w:before="3" w:line="460" w:lineRule="exact"/>
              <w:jc w:val="left"/>
              <w:rPr>
                <w:rFonts w:ascii="宋体" w:hAnsi="宋体" w:cs="宋体"/>
                <w:kern w:val="0"/>
                <w:sz w:val="24"/>
              </w:rPr>
            </w:pPr>
          </w:p>
          <w:p>
            <w:pPr>
              <w:pStyle w:val="127"/>
              <w:autoSpaceDE w:val="0"/>
              <w:autoSpaceDN w:val="0"/>
              <w:adjustRightInd w:val="0"/>
              <w:spacing w:line="460" w:lineRule="exact"/>
              <w:jc w:val="left"/>
              <w:rPr>
                <w:rFonts w:ascii="宋体" w:hAnsi="宋体" w:cs="宋体"/>
                <w:kern w:val="0"/>
                <w:sz w:val="24"/>
              </w:rPr>
            </w:pPr>
          </w:p>
          <w:p>
            <w:pPr>
              <w:pStyle w:val="127"/>
              <w:autoSpaceDE w:val="0"/>
              <w:autoSpaceDN w:val="0"/>
              <w:adjustRightInd w:val="0"/>
              <w:spacing w:line="460" w:lineRule="exact"/>
              <w:jc w:val="left"/>
              <w:rPr>
                <w:rFonts w:ascii="宋体" w:hAnsi="宋体" w:cs="宋体"/>
                <w:kern w:val="0"/>
                <w:sz w:val="24"/>
              </w:rPr>
            </w:pPr>
          </w:p>
          <w:p>
            <w:pPr>
              <w:pStyle w:val="127"/>
              <w:autoSpaceDE w:val="0"/>
              <w:autoSpaceDN w:val="0"/>
              <w:adjustRightInd w:val="0"/>
              <w:spacing w:line="460" w:lineRule="exact"/>
              <w:jc w:val="left"/>
              <w:rPr>
                <w:rFonts w:ascii="宋体" w:hAnsi="宋体" w:cs="宋体"/>
                <w:kern w:val="0"/>
                <w:sz w:val="24"/>
              </w:rPr>
            </w:pPr>
          </w:p>
          <w:p>
            <w:pPr>
              <w:pStyle w:val="127"/>
              <w:autoSpaceDE w:val="0"/>
              <w:autoSpaceDN w:val="0"/>
              <w:adjustRightInd w:val="0"/>
              <w:spacing w:line="460" w:lineRule="exact"/>
              <w:jc w:val="left"/>
              <w:rPr>
                <w:rFonts w:ascii="宋体" w:hAnsi="宋体" w:cs="宋体"/>
                <w:kern w:val="0"/>
                <w:sz w:val="24"/>
              </w:rPr>
            </w:pPr>
          </w:p>
          <w:p>
            <w:pPr>
              <w:pStyle w:val="127"/>
              <w:autoSpaceDE w:val="0"/>
              <w:autoSpaceDN w:val="0"/>
              <w:adjustRightInd w:val="0"/>
              <w:spacing w:line="460" w:lineRule="exact"/>
              <w:jc w:val="left"/>
              <w:rPr>
                <w:rFonts w:ascii="宋体" w:hAnsi="宋体" w:cs="宋体"/>
                <w:kern w:val="0"/>
                <w:sz w:val="24"/>
              </w:rPr>
            </w:pPr>
          </w:p>
          <w:p>
            <w:pPr>
              <w:pStyle w:val="127"/>
              <w:autoSpaceDE w:val="0"/>
              <w:autoSpaceDN w:val="0"/>
              <w:adjustRightInd w:val="0"/>
              <w:spacing w:line="460" w:lineRule="exact"/>
              <w:ind w:left="357" w:right="-20"/>
              <w:jc w:val="left"/>
              <w:rPr>
                <w:rFonts w:ascii="宋体" w:hAnsi="宋体" w:cs="宋体"/>
                <w:kern w:val="0"/>
                <w:sz w:val="24"/>
              </w:rPr>
            </w:pPr>
            <w:r>
              <w:rPr>
                <w:rFonts w:hint="eastAsia" w:ascii="宋体" w:hAnsi="宋体" w:cs="宋体"/>
                <w:kern w:val="0"/>
                <w:sz w:val="24"/>
              </w:rPr>
              <w:t>其他人员</w:t>
            </w: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90" w:hRule="atLeast"/>
        </w:trPr>
        <w:tc>
          <w:tcPr>
            <w:tcW w:w="1872" w:type="dxa"/>
            <w:vMerge w:val="continue"/>
            <w:tcBorders>
              <w:top w:val="nil"/>
              <w:left w:val="single" w:color="000000" w:sz="12" w:space="0"/>
              <w:bottom w:val="single" w:color="000000" w:sz="12" w:space="0"/>
              <w:right w:val="single" w:color="000000" w:sz="6" w:space="0"/>
            </w:tcBorders>
            <w:vAlign w:val="center"/>
          </w:tcPr>
          <w:p>
            <w:pPr>
              <w:pStyle w:val="127"/>
              <w:widowControl/>
              <w:spacing w:line="460" w:lineRule="exact"/>
              <w:jc w:val="left"/>
              <w:rPr>
                <w:rFonts w:ascii="宋体" w:hAnsi="宋体" w:cs="宋体"/>
                <w:kern w:val="0"/>
                <w:sz w:val="24"/>
              </w:rPr>
            </w:pP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90" w:hRule="atLeast"/>
        </w:trPr>
        <w:tc>
          <w:tcPr>
            <w:tcW w:w="1872" w:type="dxa"/>
            <w:vMerge w:val="continue"/>
            <w:tcBorders>
              <w:top w:val="nil"/>
              <w:left w:val="single" w:color="000000" w:sz="12" w:space="0"/>
              <w:bottom w:val="single" w:color="000000" w:sz="12" w:space="0"/>
              <w:right w:val="single" w:color="000000" w:sz="6" w:space="0"/>
            </w:tcBorders>
            <w:vAlign w:val="center"/>
          </w:tcPr>
          <w:p>
            <w:pPr>
              <w:pStyle w:val="127"/>
              <w:widowControl/>
              <w:spacing w:line="460" w:lineRule="exact"/>
              <w:jc w:val="left"/>
              <w:rPr>
                <w:rFonts w:ascii="宋体" w:hAnsi="宋体" w:cs="宋体"/>
                <w:kern w:val="0"/>
                <w:sz w:val="24"/>
              </w:rPr>
            </w:pP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90" w:hRule="atLeast"/>
        </w:trPr>
        <w:tc>
          <w:tcPr>
            <w:tcW w:w="1872" w:type="dxa"/>
            <w:vMerge w:val="continue"/>
            <w:tcBorders>
              <w:top w:val="nil"/>
              <w:left w:val="single" w:color="000000" w:sz="12" w:space="0"/>
              <w:bottom w:val="single" w:color="000000" w:sz="12" w:space="0"/>
              <w:right w:val="single" w:color="000000" w:sz="6" w:space="0"/>
            </w:tcBorders>
            <w:vAlign w:val="center"/>
          </w:tcPr>
          <w:p>
            <w:pPr>
              <w:pStyle w:val="127"/>
              <w:widowControl/>
              <w:spacing w:line="460" w:lineRule="exact"/>
              <w:jc w:val="left"/>
              <w:rPr>
                <w:rFonts w:ascii="宋体" w:hAnsi="宋体" w:cs="宋体"/>
                <w:kern w:val="0"/>
                <w:sz w:val="24"/>
              </w:rPr>
            </w:pP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90" w:hRule="atLeast"/>
        </w:trPr>
        <w:tc>
          <w:tcPr>
            <w:tcW w:w="1872" w:type="dxa"/>
            <w:vMerge w:val="continue"/>
            <w:tcBorders>
              <w:top w:val="nil"/>
              <w:left w:val="single" w:color="000000" w:sz="12" w:space="0"/>
              <w:bottom w:val="single" w:color="000000" w:sz="12" w:space="0"/>
              <w:right w:val="single" w:color="000000" w:sz="6" w:space="0"/>
            </w:tcBorders>
            <w:vAlign w:val="center"/>
          </w:tcPr>
          <w:p>
            <w:pPr>
              <w:pStyle w:val="127"/>
              <w:widowControl/>
              <w:spacing w:line="460" w:lineRule="exact"/>
              <w:jc w:val="left"/>
              <w:rPr>
                <w:rFonts w:ascii="宋体" w:hAnsi="宋体" w:cs="宋体"/>
                <w:kern w:val="0"/>
                <w:sz w:val="24"/>
              </w:rPr>
            </w:pPr>
          </w:p>
        </w:tc>
        <w:tc>
          <w:tcPr>
            <w:tcW w:w="1417"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6"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6"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r>
        <w:tblPrEx>
          <w:tblCellMar>
            <w:top w:w="0" w:type="dxa"/>
            <w:left w:w="0" w:type="dxa"/>
            <w:bottom w:w="0" w:type="dxa"/>
            <w:right w:w="0" w:type="dxa"/>
          </w:tblCellMar>
        </w:tblPrEx>
        <w:trPr>
          <w:trHeight w:val="499" w:hRule="atLeast"/>
        </w:trPr>
        <w:tc>
          <w:tcPr>
            <w:tcW w:w="1872" w:type="dxa"/>
            <w:vMerge w:val="continue"/>
            <w:tcBorders>
              <w:top w:val="nil"/>
              <w:left w:val="single" w:color="000000" w:sz="12" w:space="0"/>
              <w:bottom w:val="single" w:color="000000" w:sz="12" w:space="0"/>
              <w:right w:val="single" w:color="000000" w:sz="6" w:space="0"/>
            </w:tcBorders>
            <w:vAlign w:val="center"/>
          </w:tcPr>
          <w:p>
            <w:pPr>
              <w:pStyle w:val="127"/>
              <w:widowControl/>
              <w:spacing w:line="460" w:lineRule="exact"/>
              <w:jc w:val="left"/>
              <w:rPr>
                <w:rFonts w:ascii="宋体" w:hAnsi="宋体" w:cs="宋体"/>
                <w:kern w:val="0"/>
                <w:sz w:val="24"/>
              </w:rPr>
            </w:pPr>
          </w:p>
        </w:tc>
        <w:tc>
          <w:tcPr>
            <w:tcW w:w="1417" w:type="dxa"/>
            <w:tcBorders>
              <w:top w:val="single" w:color="000000" w:sz="6" w:space="0"/>
              <w:left w:val="nil"/>
              <w:bottom w:val="single" w:color="000000" w:sz="12"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5" w:type="dxa"/>
            <w:tcBorders>
              <w:top w:val="single" w:color="000000" w:sz="6" w:space="0"/>
              <w:left w:val="nil"/>
              <w:bottom w:val="single" w:color="000000" w:sz="12"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1133" w:type="dxa"/>
            <w:tcBorders>
              <w:top w:val="single" w:color="000000" w:sz="6" w:space="0"/>
              <w:left w:val="nil"/>
              <w:bottom w:val="single" w:color="000000" w:sz="12" w:space="0"/>
              <w:right w:val="single" w:color="000000" w:sz="6" w:space="0"/>
            </w:tcBorders>
          </w:tcPr>
          <w:p>
            <w:pPr>
              <w:pStyle w:val="127"/>
              <w:autoSpaceDE w:val="0"/>
              <w:autoSpaceDN w:val="0"/>
              <w:adjustRightInd w:val="0"/>
              <w:spacing w:line="460" w:lineRule="exact"/>
              <w:jc w:val="left"/>
              <w:rPr>
                <w:rFonts w:ascii="宋体" w:hAnsi="宋体" w:cs="宋体"/>
                <w:kern w:val="0"/>
                <w:sz w:val="24"/>
              </w:rPr>
            </w:pPr>
          </w:p>
        </w:tc>
        <w:tc>
          <w:tcPr>
            <w:tcW w:w="3690" w:type="dxa"/>
            <w:tcBorders>
              <w:top w:val="single" w:color="000000" w:sz="6" w:space="0"/>
              <w:left w:val="nil"/>
              <w:bottom w:val="single" w:color="000000" w:sz="12" w:space="0"/>
              <w:right w:val="single" w:color="000000" w:sz="12" w:space="0"/>
            </w:tcBorders>
          </w:tcPr>
          <w:p>
            <w:pPr>
              <w:pStyle w:val="127"/>
              <w:autoSpaceDE w:val="0"/>
              <w:autoSpaceDN w:val="0"/>
              <w:adjustRightInd w:val="0"/>
              <w:spacing w:line="460" w:lineRule="exact"/>
              <w:jc w:val="left"/>
              <w:rPr>
                <w:rFonts w:ascii="宋体" w:hAnsi="宋体" w:cs="宋体"/>
                <w:kern w:val="0"/>
                <w:sz w:val="24"/>
              </w:rPr>
            </w:pPr>
          </w:p>
        </w:tc>
      </w:tr>
    </w:tbl>
    <w:p>
      <w:pPr>
        <w:spacing w:line="360" w:lineRule="auto"/>
      </w:pPr>
    </w:p>
    <w:p>
      <w:pPr>
        <w:spacing w:line="360" w:lineRule="auto"/>
      </w:pPr>
    </w:p>
    <w:p>
      <w:pPr>
        <w:pStyle w:val="5"/>
        <w:spacing w:line="360" w:lineRule="auto"/>
        <w:jc w:val="center"/>
        <w:sectPr>
          <w:pgSz w:w="11906" w:h="16838"/>
          <w:pgMar w:top="1440" w:right="1230" w:bottom="1440" w:left="1230" w:header="851" w:footer="992" w:gutter="0"/>
          <w:cols w:space="0" w:num="1"/>
          <w:titlePg/>
          <w:docGrid w:type="lines" w:linePitch="314" w:charSpace="0"/>
        </w:sectPr>
      </w:pPr>
    </w:p>
    <w:p>
      <w:pPr>
        <w:pStyle w:val="5"/>
        <w:spacing w:line="360" w:lineRule="auto"/>
        <w:jc w:val="center"/>
      </w:pPr>
      <w:bookmarkStart w:id="586" w:name="_Toc9410"/>
      <w:r>
        <w:rPr>
          <w:rFonts w:hint="eastAsia"/>
        </w:rPr>
        <w:t>第五章  响应文件格式</w:t>
      </w:r>
      <w:bookmarkEnd w:id="220"/>
      <w:bookmarkEnd w:id="221"/>
      <w:bookmarkEnd w:id="222"/>
      <w:bookmarkEnd w:id="223"/>
      <w:bookmarkEnd w:id="586"/>
      <w:bookmarkStart w:id="587" w:name="EB1e84b5b9852c4c7ab78b24a67427e4f5"/>
    </w:p>
    <w:p>
      <w:pPr>
        <w:spacing w:line="360" w:lineRule="auto"/>
        <w:rPr>
          <w:rFonts w:ascii="Calibri" w:hAnsi="Calibri" w:eastAsia="宋体" w:cs="Times New Roman"/>
          <w:color w:val="000000"/>
        </w:rPr>
      </w:pPr>
    </w:p>
    <w:p>
      <w:pPr>
        <w:spacing w:line="360" w:lineRule="auto"/>
        <w:ind w:firstLine="1124" w:firstLineChars="400"/>
        <w:rPr>
          <w:rFonts w:ascii="Calibri" w:hAnsi="Calibri" w:eastAsia="宋体" w:cs="Times New Roman"/>
          <w:b/>
          <w:color w:val="000000"/>
          <w:sz w:val="28"/>
          <w:szCs w:val="28"/>
        </w:rPr>
      </w:pPr>
    </w:p>
    <w:p>
      <w:pPr>
        <w:widowControl/>
        <w:spacing w:before="120" w:after="120" w:line="360" w:lineRule="auto"/>
        <w:ind w:firstLine="703" w:firstLineChars="250"/>
        <w:rPr>
          <w:rFonts w:ascii="Calibri" w:hAnsi="Calibri" w:eastAsia="宋体" w:cs="Times New Roman"/>
          <w:b/>
          <w:color w:val="000000"/>
          <w:sz w:val="28"/>
          <w:szCs w:val="28"/>
        </w:rPr>
      </w:pPr>
    </w:p>
    <w:p>
      <w:pPr>
        <w:widowControl/>
        <w:spacing w:before="120" w:after="120" w:line="360" w:lineRule="auto"/>
        <w:ind w:firstLine="703" w:firstLineChars="250"/>
        <w:rPr>
          <w:rFonts w:ascii="Calibri" w:hAnsi="Calibri" w:eastAsia="宋体" w:cs="Times New Roman"/>
          <w:b/>
          <w:color w:val="000000"/>
          <w:sz w:val="28"/>
          <w:szCs w:val="28"/>
        </w:rPr>
      </w:pPr>
    </w:p>
    <w:p>
      <w:pPr>
        <w:widowControl/>
        <w:spacing w:before="120" w:after="120" w:line="360" w:lineRule="auto"/>
        <w:ind w:left="1639" w:hanging="1072"/>
        <w:jc w:val="center"/>
        <w:rPr>
          <w:rFonts w:ascii="宋体" w:hAnsi="宋体" w:eastAsia="宋体" w:cs="Times New Roman"/>
          <w:b/>
          <w:bCs/>
          <w:color w:val="000000"/>
          <w:sz w:val="56"/>
          <w:szCs w:val="56"/>
        </w:rPr>
      </w:pPr>
      <w:r>
        <w:rPr>
          <w:rFonts w:hint="eastAsia" w:ascii="宋体" w:hAnsi="宋体" w:eastAsia="宋体" w:cs="Times New Roman"/>
          <w:b/>
          <w:bCs/>
          <w:color w:val="000000"/>
          <w:sz w:val="56"/>
          <w:szCs w:val="56"/>
        </w:rPr>
        <w:t>谈判响应文件</w:t>
      </w:r>
    </w:p>
    <w:p>
      <w:pPr>
        <w:widowControl/>
        <w:spacing w:before="120" w:after="120" w:line="360" w:lineRule="auto"/>
        <w:ind w:left="1070" w:hanging="1069" w:hangingChars="382"/>
        <w:rPr>
          <w:rFonts w:ascii="宋体" w:hAnsi="宋体" w:eastAsia="宋体" w:cs="Times New Roman"/>
          <w:color w:val="000000"/>
          <w:sz w:val="28"/>
        </w:rPr>
      </w:pPr>
    </w:p>
    <w:p>
      <w:pPr>
        <w:widowControl/>
        <w:spacing w:before="120" w:after="120" w:line="360" w:lineRule="auto"/>
        <w:ind w:left="1070" w:hanging="1069" w:hangingChars="382"/>
        <w:rPr>
          <w:rFonts w:ascii="宋体" w:hAnsi="宋体" w:eastAsia="宋体" w:cs="Times New Roman"/>
          <w:color w:val="000000"/>
          <w:sz w:val="28"/>
        </w:rPr>
      </w:pPr>
    </w:p>
    <w:p>
      <w:pPr>
        <w:widowControl/>
        <w:spacing w:before="120" w:after="120" w:line="360" w:lineRule="auto"/>
        <w:ind w:left="1070" w:hanging="1069" w:hangingChars="382"/>
        <w:rPr>
          <w:rFonts w:ascii="宋体" w:hAnsi="宋体" w:eastAsia="宋体" w:cs="Times New Roman"/>
          <w:color w:val="000000"/>
          <w:sz w:val="28"/>
        </w:rPr>
      </w:pPr>
    </w:p>
    <w:p>
      <w:pPr>
        <w:widowControl/>
        <w:spacing w:before="120" w:after="120" w:line="360" w:lineRule="auto"/>
        <w:ind w:left="1070" w:hanging="1069" w:hangingChars="382"/>
        <w:rPr>
          <w:rFonts w:ascii="宋体" w:hAnsi="宋体" w:eastAsia="宋体" w:cs="Times New Roman"/>
          <w:color w:val="000000"/>
          <w:sz w:val="28"/>
        </w:rPr>
      </w:pPr>
    </w:p>
    <w:p>
      <w:pPr>
        <w:widowControl/>
        <w:spacing w:before="120" w:after="120" w:line="360" w:lineRule="auto"/>
        <w:ind w:left="1070" w:hanging="1069" w:hangingChars="382"/>
        <w:rPr>
          <w:rFonts w:ascii="宋体" w:hAnsi="宋体" w:eastAsia="宋体" w:cs="Times New Roman"/>
          <w:color w:val="000000"/>
          <w:sz w:val="28"/>
        </w:rPr>
      </w:pPr>
    </w:p>
    <w:p>
      <w:pPr>
        <w:widowControl/>
        <w:spacing w:before="120" w:after="120" w:line="360" w:lineRule="auto"/>
        <w:ind w:left="1070" w:hanging="1069" w:hangingChars="382"/>
        <w:rPr>
          <w:rFonts w:ascii="宋体" w:hAnsi="宋体" w:eastAsia="宋体" w:cs="Times New Roman"/>
          <w:color w:val="000000"/>
          <w:sz w:val="28"/>
        </w:rPr>
      </w:pPr>
    </w:p>
    <w:p>
      <w:pPr>
        <w:widowControl/>
        <w:spacing w:before="120" w:after="120" w:line="360" w:lineRule="auto"/>
        <w:ind w:left="1070" w:hanging="1069" w:hangingChars="382"/>
        <w:rPr>
          <w:rFonts w:ascii="宋体" w:hAnsi="宋体" w:eastAsia="宋体" w:cs="Times New Roman"/>
          <w:color w:val="000000"/>
          <w:sz w:val="28"/>
        </w:rPr>
      </w:pPr>
    </w:p>
    <w:p>
      <w:pPr>
        <w:widowControl/>
        <w:spacing w:line="360" w:lineRule="auto"/>
        <w:ind w:firstLine="1830" w:firstLineChars="651"/>
        <w:rPr>
          <w:rFonts w:ascii="宋体" w:hAnsi="宋体" w:eastAsia="宋体" w:cs="Times New Roman"/>
          <w:b/>
          <w:bCs/>
          <w:color w:val="000000"/>
          <w:sz w:val="28"/>
          <w:szCs w:val="28"/>
          <w:u w:val="single"/>
        </w:rPr>
      </w:pPr>
      <w:r>
        <w:rPr>
          <w:rFonts w:hint="eastAsia" w:ascii="宋体" w:hAnsi="宋体" w:eastAsia="宋体" w:cs="Times New Roman"/>
          <w:b/>
          <w:color w:val="000000"/>
          <w:sz w:val="28"/>
          <w:szCs w:val="28"/>
        </w:rPr>
        <w:t>项目编号：</w:t>
      </w:r>
    </w:p>
    <w:p>
      <w:pPr>
        <w:widowControl/>
        <w:spacing w:line="360" w:lineRule="auto"/>
        <w:ind w:firstLine="1830" w:firstLineChars="651"/>
        <w:rPr>
          <w:rFonts w:ascii="宋体" w:hAnsi="宋体" w:eastAsia="宋体" w:cs="Times New Roman"/>
          <w:b/>
          <w:color w:val="000000"/>
          <w:sz w:val="28"/>
          <w:szCs w:val="28"/>
          <w:u w:val="single"/>
        </w:rPr>
      </w:pPr>
      <w:r>
        <w:rPr>
          <w:rFonts w:hint="eastAsia" w:ascii="宋体" w:hAnsi="宋体" w:eastAsia="宋体" w:cs="Times New Roman"/>
          <w:b/>
          <w:color w:val="000000"/>
          <w:sz w:val="28"/>
          <w:szCs w:val="28"/>
        </w:rPr>
        <w:t>项目名称：</w:t>
      </w:r>
    </w:p>
    <w:p>
      <w:pPr>
        <w:widowControl/>
        <w:spacing w:line="360" w:lineRule="auto"/>
        <w:ind w:firstLine="1830" w:firstLineChars="651"/>
        <w:rPr>
          <w:rFonts w:ascii="宋体" w:hAnsi="宋体" w:eastAsia="宋体" w:cs="Times New Roman"/>
          <w:b/>
          <w:color w:val="000000"/>
          <w:sz w:val="28"/>
          <w:szCs w:val="28"/>
          <w:u w:val="single"/>
        </w:rPr>
      </w:pPr>
      <w:r>
        <w:rPr>
          <w:rFonts w:hint="eastAsia" w:ascii="宋体" w:hAnsi="宋体" w:eastAsia="宋体" w:cs="Times New Roman"/>
          <w:b/>
          <w:color w:val="000000"/>
          <w:sz w:val="28"/>
          <w:szCs w:val="28"/>
        </w:rPr>
        <w:t>供应商名称（盖章）：</w:t>
      </w:r>
    </w:p>
    <w:p>
      <w:pPr>
        <w:widowControl/>
        <w:spacing w:line="360" w:lineRule="auto"/>
        <w:ind w:firstLine="1830" w:firstLineChars="651"/>
        <w:rPr>
          <w:rFonts w:ascii="宋体" w:hAnsi="宋体" w:eastAsia="宋体" w:cs="Times New Roman"/>
          <w:b/>
          <w:bCs/>
          <w:color w:val="000000"/>
          <w:sz w:val="28"/>
          <w:szCs w:val="28"/>
        </w:rPr>
      </w:pPr>
      <w:r>
        <w:rPr>
          <w:rFonts w:hint="eastAsia" w:ascii="宋体" w:hAnsi="宋体" w:eastAsia="宋体" w:cs="Times New Roman"/>
          <w:b/>
          <w:bCs/>
          <w:color w:val="000000"/>
          <w:sz w:val="28"/>
          <w:szCs w:val="28"/>
        </w:rPr>
        <w:t>日    期：   年   月  日</w:t>
      </w:r>
    </w:p>
    <w:p>
      <w:pPr>
        <w:widowControl/>
        <w:spacing w:before="120" w:after="120" w:line="360" w:lineRule="auto"/>
        <w:ind w:left="1639" w:firstLine="1524" w:firstLineChars="542"/>
        <w:rPr>
          <w:rFonts w:ascii="宋体" w:hAnsi="宋体" w:eastAsia="宋体" w:cs="Times New Roman"/>
          <w:b/>
          <w:bCs/>
          <w:color w:val="000000"/>
          <w:sz w:val="28"/>
          <w:szCs w:val="30"/>
          <w:u w:val="single"/>
        </w:rPr>
      </w:pPr>
    </w:p>
    <w:p>
      <w:pPr>
        <w:widowControl/>
        <w:spacing w:before="120" w:after="120" w:line="360" w:lineRule="auto"/>
        <w:ind w:left="1639" w:firstLine="1524" w:firstLineChars="542"/>
        <w:rPr>
          <w:rFonts w:ascii="宋体" w:hAnsi="宋体" w:eastAsia="宋体" w:cs="Times New Roman"/>
          <w:b/>
          <w:bCs/>
          <w:color w:val="000000"/>
          <w:sz w:val="28"/>
          <w:szCs w:val="30"/>
          <w:u w:val="single"/>
        </w:rPr>
      </w:pPr>
    </w:p>
    <w:bookmarkEnd w:id="587"/>
    <w:p>
      <w:pPr>
        <w:pStyle w:val="6"/>
        <w:sectPr>
          <w:pgSz w:w="11906" w:h="16838"/>
          <w:pgMar w:top="1440" w:right="1230" w:bottom="1440" w:left="1230" w:header="851" w:footer="992" w:gutter="0"/>
          <w:cols w:space="0" w:num="1"/>
          <w:titlePg/>
          <w:docGrid w:type="lines" w:linePitch="314" w:charSpace="0"/>
        </w:sectPr>
      </w:pPr>
      <w:bookmarkStart w:id="588" w:name="_Toc448862871"/>
      <w:bookmarkStart w:id="589" w:name="_Toc449191483"/>
    </w:p>
    <w:p>
      <w:pPr>
        <w:pStyle w:val="77"/>
        <w:tabs>
          <w:tab w:val="left" w:pos="1365"/>
        </w:tabs>
        <w:jc w:val="center"/>
        <w:rPr>
          <w:b/>
        </w:rPr>
      </w:pPr>
      <w:bookmarkStart w:id="590" w:name="_Toc17121"/>
      <w:r>
        <w:rPr>
          <w:rFonts w:hint="eastAsia"/>
          <w:b/>
        </w:rPr>
        <w:t>商务文件组成</w:t>
      </w:r>
      <w:bookmarkEnd w:id="588"/>
      <w:bookmarkEnd w:id="589"/>
      <w:bookmarkEnd w:id="590"/>
    </w:p>
    <w:p>
      <w:pPr>
        <w:spacing w:line="360" w:lineRule="auto"/>
        <w:rPr>
          <w:rFonts w:asciiTheme="minorEastAsia" w:hAnsiTheme="minorEastAsia"/>
          <w:kern w:val="0"/>
          <w:sz w:val="24"/>
          <w:szCs w:val="24"/>
        </w:rPr>
      </w:pPr>
      <w:r>
        <w:rPr>
          <w:rFonts w:hint="eastAsia" w:asciiTheme="minorEastAsia" w:hAnsiTheme="minorEastAsia"/>
          <w:kern w:val="0"/>
          <w:sz w:val="24"/>
          <w:szCs w:val="24"/>
        </w:rPr>
        <w:t>1、商务文件目录；</w:t>
      </w:r>
    </w:p>
    <w:p>
      <w:pPr>
        <w:spacing w:line="360" w:lineRule="auto"/>
        <w:rPr>
          <w:rFonts w:asciiTheme="minorEastAsia" w:hAnsiTheme="minorEastAsia"/>
          <w:kern w:val="0"/>
          <w:sz w:val="24"/>
          <w:szCs w:val="24"/>
        </w:rPr>
      </w:pPr>
      <w:r>
        <w:rPr>
          <w:rFonts w:hint="eastAsia" w:asciiTheme="minorEastAsia" w:hAnsiTheme="minorEastAsia"/>
          <w:kern w:val="0"/>
          <w:sz w:val="24"/>
          <w:szCs w:val="24"/>
        </w:rPr>
        <w:t>2、谈判响应函、报价一览表；</w:t>
      </w:r>
    </w:p>
    <w:p>
      <w:pPr>
        <w:spacing w:line="360" w:lineRule="auto"/>
        <w:rPr>
          <w:rFonts w:asciiTheme="minorEastAsia" w:hAnsiTheme="minorEastAsia"/>
          <w:kern w:val="0"/>
          <w:sz w:val="24"/>
          <w:szCs w:val="24"/>
        </w:rPr>
      </w:pPr>
      <w:r>
        <w:rPr>
          <w:rFonts w:asciiTheme="minorEastAsia" w:hAnsiTheme="minorEastAsia"/>
          <w:kern w:val="0"/>
          <w:sz w:val="24"/>
          <w:szCs w:val="24"/>
        </w:rPr>
        <w:t>3</w:t>
      </w:r>
      <w:r>
        <w:rPr>
          <w:rFonts w:hint="eastAsia" w:asciiTheme="minorEastAsia" w:hAnsiTheme="minorEastAsia"/>
          <w:kern w:val="0"/>
          <w:sz w:val="24"/>
          <w:szCs w:val="24"/>
        </w:rPr>
        <w:t>、谈判报价清单；</w:t>
      </w:r>
    </w:p>
    <w:p>
      <w:pPr>
        <w:spacing w:line="360" w:lineRule="auto"/>
        <w:rPr>
          <w:rFonts w:asciiTheme="minorEastAsia" w:hAnsiTheme="minorEastAsia"/>
          <w:kern w:val="0"/>
          <w:sz w:val="24"/>
          <w:szCs w:val="24"/>
        </w:rPr>
      </w:pPr>
      <w:r>
        <w:rPr>
          <w:rFonts w:hint="eastAsia" w:asciiTheme="minorEastAsia" w:hAnsiTheme="minorEastAsia"/>
          <w:kern w:val="0"/>
          <w:sz w:val="24"/>
          <w:szCs w:val="24"/>
        </w:rPr>
        <w:t>4、法定代表人资格证明文件；</w:t>
      </w:r>
    </w:p>
    <w:p>
      <w:pPr>
        <w:spacing w:line="360" w:lineRule="auto"/>
        <w:rPr>
          <w:rFonts w:asciiTheme="minorEastAsia" w:hAnsiTheme="minorEastAsia"/>
          <w:bCs/>
          <w:sz w:val="24"/>
          <w:szCs w:val="24"/>
        </w:rPr>
      </w:pPr>
      <w:r>
        <w:rPr>
          <w:rFonts w:hint="eastAsia" w:asciiTheme="minorEastAsia" w:hAnsiTheme="minorEastAsia"/>
          <w:kern w:val="0"/>
          <w:sz w:val="24"/>
          <w:szCs w:val="24"/>
        </w:rPr>
        <w:t>5、</w:t>
      </w:r>
      <w:r>
        <w:rPr>
          <w:rFonts w:hint="eastAsia" w:asciiTheme="minorEastAsia" w:hAnsiTheme="minorEastAsia"/>
          <w:bCs/>
          <w:sz w:val="24"/>
          <w:szCs w:val="24"/>
        </w:rPr>
        <w:t>谈判资格证明文件：同资格条件；</w:t>
      </w:r>
    </w:p>
    <w:p>
      <w:pPr>
        <w:spacing w:line="360" w:lineRule="auto"/>
        <w:rPr>
          <w:rFonts w:asciiTheme="minorEastAsia" w:hAnsiTheme="minorEastAsia"/>
          <w:color w:val="FF0000"/>
          <w:sz w:val="24"/>
          <w:szCs w:val="24"/>
        </w:rPr>
      </w:pPr>
      <w:r>
        <w:rPr>
          <w:rFonts w:hint="eastAsia" w:asciiTheme="minorEastAsia" w:hAnsiTheme="minorEastAsia"/>
          <w:bCs/>
          <w:sz w:val="24"/>
          <w:szCs w:val="24"/>
        </w:rPr>
        <w:t>6、供应商的资格声明；</w:t>
      </w:r>
    </w:p>
    <w:p>
      <w:pPr>
        <w:spacing w:line="360" w:lineRule="auto"/>
        <w:rPr>
          <w:rFonts w:asciiTheme="minorEastAsia" w:hAnsiTheme="minorEastAsia"/>
          <w:sz w:val="24"/>
          <w:szCs w:val="24"/>
        </w:rPr>
      </w:pPr>
      <w:r>
        <w:rPr>
          <w:rFonts w:hint="eastAsia" w:asciiTheme="minorEastAsia" w:hAnsiTheme="minorEastAsia"/>
          <w:sz w:val="24"/>
          <w:szCs w:val="24"/>
        </w:rPr>
        <w:t>7、项目负责人；</w:t>
      </w:r>
    </w:p>
    <w:p>
      <w:pPr>
        <w:spacing w:line="360" w:lineRule="auto"/>
        <w:rPr>
          <w:rFonts w:asciiTheme="minorEastAsia" w:hAnsiTheme="minorEastAsia"/>
          <w:sz w:val="24"/>
          <w:szCs w:val="24"/>
        </w:rPr>
      </w:pPr>
      <w:r>
        <w:rPr>
          <w:rFonts w:hint="eastAsia" w:asciiTheme="minorEastAsia" w:hAnsiTheme="minorEastAsia"/>
          <w:sz w:val="24"/>
          <w:szCs w:val="24"/>
        </w:rPr>
        <w:t>8、其他主要项目管理人员简历表；</w:t>
      </w:r>
    </w:p>
    <w:p>
      <w:pPr>
        <w:spacing w:line="360" w:lineRule="auto"/>
        <w:rPr>
          <w:rFonts w:asciiTheme="minorEastAsia" w:hAnsiTheme="minorEastAsia"/>
          <w:sz w:val="24"/>
          <w:szCs w:val="24"/>
        </w:rPr>
      </w:pPr>
      <w:r>
        <w:rPr>
          <w:rFonts w:hint="eastAsia" w:asciiTheme="minorEastAsia" w:hAnsiTheme="minorEastAsia"/>
          <w:sz w:val="24"/>
          <w:szCs w:val="24"/>
        </w:rPr>
        <w:t>9、项目班子成员情况表；</w:t>
      </w:r>
    </w:p>
    <w:p>
      <w:pPr>
        <w:spacing w:line="360" w:lineRule="auto"/>
        <w:rPr>
          <w:rFonts w:asciiTheme="minorEastAsia" w:hAnsiTheme="minorEastAsia"/>
          <w:sz w:val="24"/>
          <w:szCs w:val="24"/>
        </w:rPr>
      </w:pPr>
      <w:r>
        <w:rPr>
          <w:rFonts w:hint="eastAsia" w:asciiTheme="minorEastAsia" w:hAnsiTheme="minorEastAsia"/>
          <w:sz w:val="24"/>
          <w:szCs w:val="24"/>
        </w:rPr>
        <w:t>10、类似项目业绩表；</w:t>
      </w:r>
    </w:p>
    <w:p>
      <w:pPr>
        <w:spacing w:line="360" w:lineRule="auto"/>
        <w:rPr>
          <w:rFonts w:asciiTheme="minorEastAsia" w:hAnsiTheme="minorEastAsia"/>
          <w:sz w:val="24"/>
          <w:szCs w:val="24"/>
        </w:rPr>
      </w:pPr>
      <w:r>
        <w:rPr>
          <w:rFonts w:hint="eastAsia" w:asciiTheme="minorEastAsia" w:hAnsiTheme="minorEastAsia"/>
          <w:sz w:val="24"/>
          <w:szCs w:val="24"/>
        </w:rPr>
        <w:t>11、谈判文件要求提供或供应商认为需提供的其它资料；</w:t>
      </w:r>
    </w:p>
    <w:p>
      <w:pPr>
        <w:spacing w:line="360" w:lineRule="auto"/>
        <w:rPr>
          <w:rFonts w:asciiTheme="minorEastAsia" w:hAnsiTheme="minorEastAsia"/>
          <w:sz w:val="24"/>
          <w:szCs w:val="24"/>
        </w:rPr>
      </w:pPr>
      <w:r>
        <w:rPr>
          <w:rFonts w:hint="eastAsia" w:asciiTheme="minorEastAsia" w:hAnsiTheme="minorEastAsia"/>
          <w:sz w:val="24"/>
          <w:szCs w:val="24"/>
        </w:rPr>
        <w:t>12、资格性、符合性检查对照表；</w:t>
      </w:r>
    </w:p>
    <w:p>
      <w:pPr>
        <w:pStyle w:val="77"/>
        <w:tabs>
          <w:tab w:val="left" w:pos="1365"/>
        </w:tabs>
        <w:jc w:val="center"/>
      </w:pPr>
    </w:p>
    <w:p>
      <w:pPr>
        <w:pStyle w:val="77"/>
        <w:tabs>
          <w:tab w:val="left" w:pos="1365"/>
        </w:tabs>
        <w:jc w:val="center"/>
      </w:pPr>
    </w:p>
    <w:p>
      <w:pPr>
        <w:pStyle w:val="77"/>
        <w:tabs>
          <w:tab w:val="left" w:pos="1365"/>
        </w:tabs>
        <w:jc w:val="center"/>
      </w:pPr>
    </w:p>
    <w:p>
      <w:pPr>
        <w:pStyle w:val="77"/>
        <w:tabs>
          <w:tab w:val="left" w:pos="1365"/>
        </w:tabs>
        <w:jc w:val="center"/>
      </w:pPr>
    </w:p>
    <w:p>
      <w:pPr>
        <w:pStyle w:val="77"/>
        <w:tabs>
          <w:tab w:val="left" w:pos="1365"/>
        </w:tabs>
        <w:jc w:val="center"/>
      </w:pPr>
    </w:p>
    <w:p>
      <w:pPr>
        <w:pStyle w:val="77"/>
        <w:tabs>
          <w:tab w:val="left" w:pos="1365"/>
        </w:tabs>
        <w:jc w:val="center"/>
      </w:pPr>
    </w:p>
    <w:p>
      <w:pPr>
        <w:pStyle w:val="77"/>
        <w:tabs>
          <w:tab w:val="left" w:pos="1365"/>
        </w:tabs>
        <w:jc w:val="center"/>
      </w:pPr>
    </w:p>
    <w:p>
      <w:pPr>
        <w:pStyle w:val="77"/>
        <w:tabs>
          <w:tab w:val="left" w:pos="1365"/>
        </w:tabs>
        <w:jc w:val="center"/>
      </w:pPr>
    </w:p>
    <w:p>
      <w:pPr>
        <w:pStyle w:val="77"/>
        <w:tabs>
          <w:tab w:val="left" w:pos="1365"/>
        </w:tabs>
        <w:jc w:val="center"/>
        <w:rPr>
          <w:b/>
        </w:rPr>
        <w:sectPr>
          <w:pgSz w:w="11906" w:h="16838"/>
          <w:pgMar w:top="1440" w:right="1230" w:bottom="1440" w:left="1230" w:header="851" w:footer="992" w:gutter="0"/>
          <w:cols w:space="0" w:num="1"/>
          <w:titlePg/>
          <w:docGrid w:type="lines" w:linePitch="314" w:charSpace="0"/>
        </w:sectPr>
      </w:pPr>
    </w:p>
    <w:p>
      <w:pPr>
        <w:pStyle w:val="77"/>
        <w:tabs>
          <w:tab w:val="left" w:pos="1365"/>
        </w:tabs>
        <w:jc w:val="center"/>
        <w:rPr>
          <w:b/>
        </w:rPr>
      </w:pPr>
      <w:r>
        <w:rPr>
          <w:rFonts w:hint="eastAsia"/>
          <w:b/>
        </w:rPr>
        <w:t>谈判响应函</w:t>
      </w:r>
    </w:p>
    <w:p>
      <w:pPr>
        <w:pStyle w:val="108"/>
        <w:ind w:left="1068" w:leftChars="271" w:hanging="499" w:hangingChars="208"/>
        <w:rPr>
          <w:rFonts w:hAnsi="宋体" w:eastAsia="宋体"/>
          <w:sz w:val="24"/>
          <w:szCs w:val="24"/>
          <w:u w:val="single"/>
        </w:rPr>
      </w:pPr>
      <w:r>
        <w:rPr>
          <w:rFonts w:hint="eastAsia" w:hAnsi="宋体" w:eastAsia="宋体"/>
          <w:sz w:val="24"/>
          <w:szCs w:val="24"/>
          <w:u w:val="single"/>
        </w:rPr>
        <w:t>（代理机构名称）：</w:t>
      </w:r>
    </w:p>
    <w:p>
      <w:pPr>
        <w:pStyle w:val="108"/>
        <w:ind w:left="1534" w:leftChars="221" w:hanging="1070" w:hangingChars="446"/>
        <w:jc w:val="both"/>
        <w:rPr>
          <w:rFonts w:hAnsi="宋体" w:eastAsia="宋体"/>
          <w:sz w:val="24"/>
          <w:szCs w:val="24"/>
          <w:u w:val="single"/>
        </w:rPr>
      </w:pPr>
      <w:r>
        <w:rPr>
          <w:rFonts w:hint="eastAsia" w:hAnsi="宋体" w:eastAsia="宋体"/>
          <w:sz w:val="24"/>
          <w:szCs w:val="24"/>
        </w:rPr>
        <w:t xml:space="preserve">根据贵方 </w:t>
      </w:r>
      <w:r>
        <w:rPr>
          <w:rFonts w:hint="eastAsia" w:hAnsi="宋体" w:eastAsia="宋体"/>
          <w:sz w:val="24"/>
          <w:szCs w:val="24"/>
          <w:u w:val="single"/>
        </w:rPr>
        <w:t xml:space="preserve">(采购项目名称/采购项目编号) </w:t>
      </w:r>
      <w:r>
        <w:rPr>
          <w:rFonts w:hint="eastAsia" w:hAnsi="宋体" w:eastAsia="宋体"/>
          <w:sz w:val="24"/>
          <w:szCs w:val="24"/>
        </w:rPr>
        <w:t>项目政府采购的谈判邀请，我方代表</w:t>
      </w:r>
      <w:r>
        <w:rPr>
          <w:rFonts w:hint="eastAsia" w:hAnsi="宋体" w:eastAsia="宋体"/>
          <w:sz w:val="24"/>
          <w:szCs w:val="24"/>
          <w:u w:val="single"/>
        </w:rPr>
        <w:t>（姓</w:t>
      </w:r>
    </w:p>
    <w:p>
      <w:pPr>
        <w:pStyle w:val="108"/>
        <w:jc w:val="both"/>
        <w:rPr>
          <w:rFonts w:hAnsi="宋体" w:eastAsia="宋体"/>
          <w:sz w:val="24"/>
          <w:szCs w:val="24"/>
        </w:rPr>
      </w:pPr>
      <w:r>
        <w:rPr>
          <w:rFonts w:hint="eastAsia" w:hAnsi="宋体" w:eastAsia="宋体"/>
          <w:sz w:val="24"/>
          <w:szCs w:val="24"/>
          <w:u w:val="single"/>
        </w:rPr>
        <w:t>名、职务）</w:t>
      </w:r>
      <w:r>
        <w:rPr>
          <w:rFonts w:hint="eastAsia" w:hAnsi="宋体" w:eastAsia="宋体"/>
          <w:sz w:val="24"/>
          <w:szCs w:val="24"/>
        </w:rPr>
        <w:t>被正式授权代表谈判供应商</w:t>
      </w:r>
      <w:r>
        <w:rPr>
          <w:rFonts w:hint="eastAsia" w:hAnsi="宋体" w:eastAsia="宋体"/>
          <w:sz w:val="24"/>
          <w:szCs w:val="24"/>
          <w:u w:val="single"/>
        </w:rPr>
        <w:t>（谈判供应商名称、地址）</w:t>
      </w:r>
      <w:r>
        <w:rPr>
          <w:rFonts w:hint="eastAsia" w:hAnsi="宋体" w:eastAsia="宋体"/>
          <w:sz w:val="24"/>
          <w:szCs w:val="24"/>
        </w:rPr>
        <w:t>，向贵方提交响应文件。</w:t>
      </w:r>
    </w:p>
    <w:p>
      <w:pPr>
        <w:pStyle w:val="108"/>
        <w:ind w:left="1031" w:leftChars="138" w:hanging="741" w:hangingChars="309"/>
        <w:jc w:val="both"/>
        <w:rPr>
          <w:rFonts w:hAnsi="宋体" w:eastAsia="宋体"/>
          <w:sz w:val="24"/>
          <w:szCs w:val="24"/>
        </w:rPr>
      </w:pPr>
      <w:r>
        <w:rPr>
          <w:rFonts w:hint="eastAsia" w:hAnsi="宋体" w:eastAsia="宋体"/>
          <w:sz w:val="24"/>
          <w:szCs w:val="24"/>
        </w:rPr>
        <w:t>1．报价一览表；</w:t>
      </w:r>
    </w:p>
    <w:p>
      <w:pPr>
        <w:pStyle w:val="108"/>
        <w:ind w:left="1031" w:leftChars="138" w:hanging="741" w:hangingChars="309"/>
        <w:jc w:val="both"/>
        <w:rPr>
          <w:rFonts w:hAnsi="宋体" w:eastAsia="宋体"/>
          <w:sz w:val="24"/>
          <w:szCs w:val="24"/>
        </w:rPr>
      </w:pPr>
      <w:r>
        <w:rPr>
          <w:rFonts w:hint="eastAsia" w:hAnsi="宋体" w:eastAsia="宋体"/>
          <w:sz w:val="24"/>
          <w:szCs w:val="24"/>
        </w:rPr>
        <w:t>2．报价明细表；</w:t>
      </w:r>
    </w:p>
    <w:p>
      <w:pPr>
        <w:pStyle w:val="108"/>
        <w:ind w:left="1031" w:leftChars="138" w:hanging="741" w:hangingChars="309"/>
        <w:jc w:val="both"/>
        <w:rPr>
          <w:rFonts w:hAnsi="宋体" w:eastAsia="宋体"/>
          <w:sz w:val="24"/>
          <w:szCs w:val="24"/>
        </w:rPr>
      </w:pPr>
      <w:r>
        <w:rPr>
          <w:rFonts w:hint="eastAsia" w:hAnsi="宋体" w:eastAsia="宋体"/>
          <w:sz w:val="24"/>
          <w:szCs w:val="24"/>
        </w:rPr>
        <w:t>3．按谈判文件谈判须知和技术规格要求提供的有关文件；</w:t>
      </w:r>
    </w:p>
    <w:p>
      <w:pPr>
        <w:pStyle w:val="108"/>
        <w:ind w:left="1031" w:leftChars="138" w:hanging="741" w:hangingChars="309"/>
        <w:jc w:val="both"/>
        <w:rPr>
          <w:rFonts w:hAnsi="宋体" w:eastAsia="宋体"/>
          <w:sz w:val="24"/>
          <w:szCs w:val="24"/>
        </w:rPr>
      </w:pPr>
      <w:r>
        <w:rPr>
          <w:rFonts w:hint="eastAsia" w:hAnsi="宋体" w:eastAsia="宋体"/>
          <w:sz w:val="24"/>
          <w:szCs w:val="24"/>
        </w:rPr>
        <w:t>4．资格证明文件；</w:t>
      </w:r>
    </w:p>
    <w:p>
      <w:pPr>
        <w:pStyle w:val="108"/>
        <w:ind w:left="1031" w:leftChars="138" w:hanging="741" w:hangingChars="309"/>
        <w:jc w:val="both"/>
        <w:rPr>
          <w:rFonts w:hAnsi="宋体" w:eastAsia="宋体"/>
          <w:sz w:val="24"/>
          <w:szCs w:val="24"/>
        </w:rPr>
      </w:pPr>
      <w:r>
        <w:rPr>
          <w:rFonts w:hint="eastAsia" w:hAnsi="宋体" w:eastAsia="宋体"/>
          <w:sz w:val="24"/>
          <w:szCs w:val="24"/>
        </w:rPr>
        <w:t>在此，我方宣布同意如下：</w:t>
      </w:r>
    </w:p>
    <w:p>
      <w:pPr>
        <w:pStyle w:val="108"/>
        <w:jc w:val="both"/>
        <w:rPr>
          <w:rFonts w:hAnsi="宋体" w:eastAsia="宋体"/>
          <w:sz w:val="24"/>
          <w:szCs w:val="24"/>
        </w:rPr>
      </w:pPr>
      <w:r>
        <w:rPr>
          <w:rFonts w:hint="eastAsia" w:hAnsi="宋体" w:eastAsia="宋体"/>
          <w:sz w:val="24"/>
          <w:szCs w:val="24"/>
        </w:rPr>
        <w:t>（1）我方将按谈判文件的约定履行合同责任和义务。</w:t>
      </w:r>
    </w:p>
    <w:p>
      <w:pPr>
        <w:pStyle w:val="108"/>
        <w:jc w:val="both"/>
        <w:rPr>
          <w:rFonts w:hAnsi="宋体" w:eastAsia="宋体"/>
          <w:sz w:val="24"/>
          <w:szCs w:val="24"/>
        </w:rPr>
      </w:pPr>
      <w:r>
        <w:rPr>
          <w:rFonts w:hint="eastAsia" w:hAnsi="宋体" w:eastAsia="宋体"/>
          <w:sz w:val="24"/>
          <w:szCs w:val="24"/>
        </w:rPr>
        <w:t>（2）我方已审阅全部谈判文件，包括谈判文件的澄清和更正公告（如有）及相关附</w:t>
      </w:r>
    </w:p>
    <w:p>
      <w:pPr>
        <w:pStyle w:val="108"/>
        <w:ind w:left="0" w:firstLine="0"/>
        <w:jc w:val="both"/>
        <w:rPr>
          <w:rFonts w:hAnsi="宋体" w:eastAsia="宋体"/>
          <w:sz w:val="24"/>
          <w:szCs w:val="24"/>
        </w:rPr>
      </w:pPr>
      <w:r>
        <w:rPr>
          <w:rFonts w:hint="eastAsia" w:hAnsi="宋体" w:eastAsia="宋体"/>
          <w:sz w:val="24"/>
          <w:szCs w:val="24"/>
        </w:rPr>
        <w:t>件，我方已完全理解谈判文件并对谈判文件不存在任何异议。</w:t>
      </w:r>
    </w:p>
    <w:p>
      <w:pPr>
        <w:pStyle w:val="108"/>
        <w:numPr>
          <w:ilvl w:val="0"/>
          <w:numId w:val="1"/>
        </w:numPr>
        <w:spacing w:before="0" w:after="0"/>
        <w:ind w:left="0" w:firstLine="0"/>
        <w:jc w:val="both"/>
        <w:rPr>
          <w:rFonts w:hAnsi="宋体" w:eastAsia="宋体"/>
          <w:sz w:val="24"/>
          <w:szCs w:val="24"/>
        </w:rPr>
      </w:pPr>
      <w:r>
        <w:rPr>
          <w:rFonts w:hint="eastAsia" w:hAnsi="宋体" w:eastAsia="宋体"/>
          <w:sz w:val="24"/>
          <w:szCs w:val="24"/>
        </w:rPr>
        <w:t>所提交的响应文件在谈判文件规定的谈判有效期</w:t>
      </w:r>
      <w:r>
        <w:rPr>
          <w:rFonts w:hint="eastAsia" w:hAnsi="宋体" w:eastAsia="宋体"/>
          <w:sz w:val="24"/>
          <w:szCs w:val="24"/>
          <w:u w:val="single"/>
        </w:rPr>
        <w:t xml:space="preserve">    </w:t>
      </w:r>
      <w:r>
        <w:rPr>
          <w:rFonts w:hint="eastAsia" w:hAnsi="宋体" w:eastAsia="宋体"/>
          <w:sz w:val="24"/>
          <w:szCs w:val="24"/>
        </w:rPr>
        <w:t>天内有效，在此期间内如果成交，我方将受此约束。</w:t>
      </w:r>
    </w:p>
    <w:p>
      <w:pPr>
        <w:pStyle w:val="108"/>
        <w:jc w:val="both"/>
        <w:rPr>
          <w:rFonts w:hAnsi="宋体" w:eastAsia="宋体"/>
          <w:sz w:val="24"/>
          <w:szCs w:val="24"/>
        </w:rPr>
      </w:pPr>
      <w:r>
        <w:rPr>
          <w:rFonts w:hint="eastAsia" w:hAnsi="宋体" w:eastAsia="宋体"/>
          <w:sz w:val="24"/>
          <w:szCs w:val="24"/>
        </w:rPr>
        <w:t>（4）接受谈判文件中关于谈判保证金的约定。</w:t>
      </w:r>
    </w:p>
    <w:p>
      <w:pPr>
        <w:pStyle w:val="108"/>
        <w:jc w:val="both"/>
        <w:rPr>
          <w:rFonts w:hAnsi="宋体" w:eastAsia="宋体"/>
          <w:sz w:val="24"/>
          <w:szCs w:val="24"/>
        </w:rPr>
      </w:pPr>
      <w:r>
        <w:rPr>
          <w:rFonts w:hint="eastAsia" w:hAnsi="宋体" w:eastAsia="宋体"/>
          <w:sz w:val="24"/>
          <w:szCs w:val="24"/>
        </w:rPr>
        <w:t>（5）我方承诺所提交的响应文件及相关资料真实有效。</w:t>
      </w:r>
    </w:p>
    <w:p>
      <w:pPr>
        <w:pStyle w:val="108"/>
        <w:jc w:val="both"/>
        <w:rPr>
          <w:rFonts w:hAnsi="宋体" w:eastAsia="宋体"/>
          <w:sz w:val="24"/>
          <w:szCs w:val="24"/>
          <w:u w:val="single"/>
        </w:rPr>
      </w:pPr>
      <w:r>
        <w:rPr>
          <w:rFonts w:hint="eastAsia" w:hAnsi="宋体" w:eastAsia="宋体"/>
          <w:sz w:val="24"/>
          <w:szCs w:val="24"/>
        </w:rPr>
        <w:t>（6）与本谈判有关的一切正式往来信函请寄：。</w:t>
      </w:r>
    </w:p>
    <w:p>
      <w:pPr>
        <w:pStyle w:val="108"/>
        <w:jc w:val="both"/>
        <w:rPr>
          <w:rFonts w:hAnsi="宋体" w:eastAsia="宋体"/>
          <w:sz w:val="24"/>
          <w:szCs w:val="24"/>
          <w:u w:val="single"/>
        </w:rPr>
      </w:pPr>
      <w:r>
        <w:rPr>
          <w:rFonts w:hint="eastAsia" w:hAnsi="宋体" w:eastAsia="宋体"/>
          <w:sz w:val="24"/>
          <w:szCs w:val="24"/>
        </w:rPr>
        <w:t>（7）其他：</w:t>
      </w:r>
      <w:r>
        <w:rPr>
          <w:rFonts w:hint="eastAsia" w:hAnsi="宋体" w:eastAsia="宋体"/>
          <w:sz w:val="24"/>
          <w:szCs w:val="24"/>
          <w:u w:val="single"/>
        </w:rPr>
        <w:t>_______________________________</w:t>
      </w:r>
      <w:r>
        <w:rPr>
          <w:rFonts w:hint="eastAsia" w:hAnsi="宋体" w:eastAsia="宋体"/>
          <w:sz w:val="24"/>
          <w:szCs w:val="24"/>
        </w:rPr>
        <w:t>。</w:t>
      </w:r>
    </w:p>
    <w:p>
      <w:pPr>
        <w:pStyle w:val="108"/>
        <w:jc w:val="both"/>
        <w:rPr>
          <w:rFonts w:hAnsi="宋体" w:eastAsia="宋体"/>
          <w:sz w:val="24"/>
          <w:szCs w:val="24"/>
          <w:u w:val="single"/>
        </w:rPr>
      </w:pPr>
      <w:r>
        <w:rPr>
          <w:rFonts w:hint="eastAsia" w:hAnsi="宋体" w:eastAsia="宋体"/>
          <w:sz w:val="24"/>
          <w:szCs w:val="24"/>
        </w:rPr>
        <w:t>谈判供应商名称（签章）：</w:t>
      </w:r>
    </w:p>
    <w:p>
      <w:pPr>
        <w:pStyle w:val="108"/>
        <w:jc w:val="both"/>
        <w:rPr>
          <w:rFonts w:hAnsi="宋体" w:eastAsia="宋体"/>
          <w:sz w:val="24"/>
          <w:szCs w:val="24"/>
        </w:rPr>
      </w:pPr>
      <w:r>
        <w:rPr>
          <w:rFonts w:hint="eastAsia" w:hAnsi="宋体" w:eastAsia="宋体"/>
          <w:sz w:val="24"/>
          <w:szCs w:val="24"/>
        </w:rPr>
        <w:t>谈判供应商法定代表人（签章）</w:t>
      </w:r>
    </w:p>
    <w:p>
      <w:pPr>
        <w:pStyle w:val="108"/>
        <w:jc w:val="both"/>
        <w:rPr>
          <w:rFonts w:hAnsi="宋体" w:eastAsia="宋体"/>
          <w:sz w:val="24"/>
          <w:szCs w:val="24"/>
          <w:u w:val="single"/>
        </w:rPr>
      </w:pPr>
      <w:r>
        <w:rPr>
          <w:rFonts w:hint="eastAsia" w:hAnsi="宋体" w:eastAsia="宋体"/>
          <w:sz w:val="24"/>
          <w:szCs w:val="24"/>
        </w:rPr>
        <w:t>日  期：   年   月     日</w:t>
      </w:r>
    </w:p>
    <w:p>
      <w:pPr>
        <w:pStyle w:val="77"/>
        <w:rPr>
          <w:rFonts w:ascii="宋体" w:hAnsi="宋体"/>
          <w:b/>
          <w:sz w:val="32"/>
          <w:szCs w:val="32"/>
        </w:rPr>
      </w:pPr>
      <w:r>
        <w:rPr>
          <w:rFonts w:ascii="宋体" w:hAnsi="宋体"/>
          <w:b/>
          <w:sz w:val="32"/>
          <w:szCs w:val="32"/>
        </w:rPr>
        <w:br w:type="page"/>
      </w:r>
    </w:p>
    <w:p>
      <w:pPr>
        <w:pStyle w:val="77"/>
        <w:snapToGrid w:val="0"/>
        <w:ind w:firstLine="2670" w:firstLineChars="950"/>
        <w:rPr>
          <w:rFonts w:ascii="宋体" w:hAnsi="宋体"/>
          <w:color w:val="000000"/>
          <w:sz w:val="24"/>
          <w:szCs w:val="24"/>
        </w:rPr>
      </w:pPr>
      <w:r>
        <w:rPr>
          <w:rFonts w:hint="eastAsia" w:ascii="宋体" w:hAnsi="宋体"/>
          <w:b/>
          <w:color w:val="000000"/>
          <w:szCs w:val="28"/>
        </w:rPr>
        <w:t>报价一览表</w:t>
      </w:r>
    </w:p>
    <w:p>
      <w:pPr>
        <w:pStyle w:val="77"/>
        <w:adjustRightInd w:val="0"/>
        <w:snapToGrid w:val="0"/>
        <w:ind w:left="1088" w:leftChars="50" w:hanging="983" w:hangingChars="410"/>
        <w:rPr>
          <w:rFonts w:ascii="宋体" w:hAnsi="宋体" w:cs="宋体"/>
          <w:color w:val="000000"/>
          <w:sz w:val="24"/>
          <w:szCs w:val="24"/>
          <w:u w:val="single"/>
        </w:rPr>
      </w:pPr>
      <w:r>
        <w:rPr>
          <w:rFonts w:hint="eastAsia" w:ascii="宋体" w:hAnsi="宋体" w:cs="宋体"/>
          <w:color w:val="000000"/>
          <w:sz w:val="24"/>
          <w:szCs w:val="24"/>
        </w:rPr>
        <w:t>采购项目编号：</w:t>
      </w:r>
    </w:p>
    <w:p>
      <w:pPr>
        <w:pStyle w:val="77"/>
        <w:ind w:left="0" w:firstLine="120" w:firstLineChars="50"/>
        <w:rPr>
          <w:rFonts w:ascii="宋体" w:hAnsi="宋体"/>
          <w:color w:val="000000"/>
          <w:sz w:val="24"/>
          <w:szCs w:val="24"/>
          <w:u w:val="single"/>
        </w:rPr>
      </w:pPr>
      <w:r>
        <w:rPr>
          <w:rFonts w:hint="eastAsia" w:ascii="宋体" w:hAnsi="宋体"/>
          <w:color w:val="000000"/>
          <w:sz w:val="24"/>
          <w:szCs w:val="24"/>
        </w:rPr>
        <w:t>采购项目名称：</w:t>
      </w:r>
    </w:p>
    <w:tbl>
      <w:tblPr>
        <w:tblStyle w:val="3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7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268" w:type="dxa"/>
            <w:vAlign w:val="center"/>
          </w:tcPr>
          <w:p>
            <w:pPr>
              <w:pStyle w:val="77"/>
              <w:snapToGrid w:val="0"/>
              <w:jc w:val="center"/>
              <w:rPr>
                <w:rFonts w:ascii="宋体" w:hAnsi="宋体"/>
                <w:color w:val="000000"/>
                <w:sz w:val="24"/>
                <w:szCs w:val="24"/>
              </w:rPr>
            </w:pPr>
            <w:r>
              <w:rPr>
                <w:rFonts w:hint="eastAsia" w:ascii="宋体" w:hAnsi="宋体"/>
                <w:color w:val="000000"/>
                <w:sz w:val="24"/>
                <w:szCs w:val="24"/>
              </w:rPr>
              <w:t>谈判总报价</w:t>
            </w:r>
          </w:p>
        </w:tc>
        <w:tc>
          <w:tcPr>
            <w:tcW w:w="7196" w:type="dxa"/>
          </w:tcPr>
          <w:p>
            <w:pPr>
              <w:pStyle w:val="77"/>
              <w:snapToGrid w:val="0"/>
              <w:ind w:firstLine="120" w:firstLineChars="50"/>
              <w:rPr>
                <w:rFonts w:ascii="宋体" w:hAnsi="宋体"/>
                <w:color w:val="000000"/>
                <w:sz w:val="24"/>
                <w:szCs w:val="24"/>
              </w:rPr>
            </w:pPr>
            <w:r>
              <w:rPr>
                <w:rFonts w:hint="eastAsia" w:ascii="宋体" w:hAnsi="宋体"/>
                <w:color w:val="000000"/>
                <w:sz w:val="24"/>
                <w:szCs w:val="24"/>
              </w:rPr>
              <w:t>大写</w:t>
            </w:r>
            <w:r>
              <w:rPr>
                <w:rFonts w:ascii="宋体" w:hAnsi="宋体"/>
                <w:color w:val="000000"/>
                <w:sz w:val="24"/>
                <w:szCs w:val="24"/>
              </w:rPr>
              <w:t>（</w:t>
            </w:r>
            <w:r>
              <w:rPr>
                <w:rFonts w:hint="eastAsia" w:ascii="宋体" w:hAnsi="宋体"/>
                <w:color w:val="000000"/>
                <w:sz w:val="24"/>
                <w:szCs w:val="24"/>
              </w:rPr>
              <w:t>人民币</w:t>
            </w:r>
            <w:r>
              <w:rPr>
                <w:rFonts w:ascii="宋体" w:hAnsi="宋体"/>
                <w:color w:val="000000"/>
                <w:sz w:val="24"/>
                <w:szCs w:val="24"/>
              </w:rPr>
              <w:t>）</w:t>
            </w:r>
            <w:r>
              <w:rPr>
                <w:rFonts w:hint="eastAsia" w:ascii="宋体" w:hAnsi="宋体"/>
                <w:color w:val="000000"/>
                <w:sz w:val="24"/>
                <w:szCs w:val="24"/>
              </w:rPr>
              <w:t>：</w:t>
            </w:r>
          </w:p>
          <w:p>
            <w:pPr>
              <w:pStyle w:val="77"/>
              <w:snapToGrid w:val="0"/>
              <w:ind w:firstLine="120" w:firstLineChars="50"/>
              <w:rPr>
                <w:rFonts w:ascii="宋体" w:hAnsi="宋体"/>
                <w:color w:val="000000"/>
                <w:sz w:val="24"/>
                <w:szCs w:val="24"/>
              </w:rPr>
            </w:pPr>
            <w:r>
              <w:rPr>
                <w:rFonts w:hint="eastAsia" w:ascii="宋体" w:hAnsi="宋体"/>
                <w:color w:val="000000"/>
                <w:sz w:val="24"/>
                <w:szCs w:val="24"/>
              </w:rPr>
              <w:t>小写</w:t>
            </w:r>
            <w:r>
              <w:rPr>
                <w:rFonts w:ascii="宋体" w:hAnsi="宋体"/>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268" w:type="dxa"/>
            <w:vAlign w:val="center"/>
          </w:tcPr>
          <w:p>
            <w:pPr>
              <w:pStyle w:val="77"/>
              <w:snapToGrid w:val="0"/>
              <w:jc w:val="center"/>
              <w:rPr>
                <w:rFonts w:ascii="宋体" w:hAnsi="宋体"/>
                <w:color w:val="000000"/>
                <w:sz w:val="24"/>
                <w:szCs w:val="24"/>
              </w:rPr>
            </w:pPr>
            <w:r>
              <w:rPr>
                <w:rFonts w:hint="eastAsia" w:ascii="宋体" w:hAnsi="宋体"/>
                <w:color w:val="000000"/>
                <w:sz w:val="24"/>
                <w:szCs w:val="24"/>
              </w:rPr>
              <w:t>工期</w:t>
            </w:r>
          </w:p>
        </w:tc>
        <w:tc>
          <w:tcPr>
            <w:tcW w:w="7196" w:type="dxa"/>
          </w:tcPr>
          <w:p>
            <w:pPr>
              <w:pStyle w:val="77"/>
              <w:snapToGrid w:val="0"/>
              <w:ind w:firstLine="120" w:firstLineChars="50"/>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268" w:type="dxa"/>
            <w:vAlign w:val="center"/>
          </w:tcPr>
          <w:p>
            <w:pPr>
              <w:pStyle w:val="77"/>
              <w:snapToGrid w:val="0"/>
              <w:jc w:val="center"/>
              <w:rPr>
                <w:rFonts w:ascii="宋体" w:hAnsi="宋体"/>
                <w:color w:val="000000"/>
                <w:sz w:val="24"/>
                <w:szCs w:val="24"/>
              </w:rPr>
            </w:pPr>
            <w:r>
              <w:rPr>
                <w:rFonts w:hint="eastAsia" w:ascii="宋体" w:hAnsi="宋体"/>
                <w:color w:val="000000"/>
                <w:sz w:val="24"/>
                <w:szCs w:val="24"/>
              </w:rPr>
              <w:t>质量承诺</w:t>
            </w:r>
          </w:p>
        </w:tc>
        <w:tc>
          <w:tcPr>
            <w:tcW w:w="7196" w:type="dxa"/>
          </w:tcPr>
          <w:p>
            <w:pPr>
              <w:pStyle w:val="77"/>
              <w:snapToGrid w:val="0"/>
              <w:ind w:firstLine="120" w:firstLineChars="50"/>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268" w:type="dxa"/>
            <w:vAlign w:val="center"/>
          </w:tcPr>
          <w:p>
            <w:pPr>
              <w:pStyle w:val="77"/>
              <w:snapToGrid w:val="0"/>
              <w:jc w:val="center"/>
              <w:rPr>
                <w:rFonts w:ascii="宋体" w:hAnsi="宋体"/>
                <w:color w:val="000000"/>
                <w:sz w:val="24"/>
                <w:szCs w:val="24"/>
              </w:rPr>
            </w:pPr>
            <w:r>
              <w:rPr>
                <w:rFonts w:hint="eastAsia" w:ascii="宋体" w:hAnsi="宋体"/>
                <w:color w:val="000000"/>
                <w:sz w:val="24"/>
                <w:szCs w:val="24"/>
              </w:rPr>
              <w:t>安全目标</w:t>
            </w:r>
          </w:p>
        </w:tc>
        <w:tc>
          <w:tcPr>
            <w:tcW w:w="7196" w:type="dxa"/>
          </w:tcPr>
          <w:p>
            <w:pPr>
              <w:pStyle w:val="77"/>
              <w:snapToGrid w:val="0"/>
              <w:ind w:firstLine="120" w:firstLineChars="50"/>
              <w:rPr>
                <w:rFonts w:ascii="宋体" w:hAnsi="宋体"/>
                <w:color w:val="000000"/>
                <w:sz w:val="24"/>
                <w:szCs w:val="24"/>
              </w:rPr>
            </w:pPr>
          </w:p>
        </w:tc>
      </w:tr>
    </w:tbl>
    <w:p>
      <w:pPr>
        <w:pStyle w:val="77"/>
        <w:snapToGrid w:val="0"/>
        <w:ind w:firstLine="120" w:firstLineChars="50"/>
        <w:jc w:val="left"/>
        <w:rPr>
          <w:rFonts w:ascii="宋体" w:hAnsi="宋体"/>
          <w:color w:val="000000"/>
          <w:sz w:val="24"/>
          <w:szCs w:val="24"/>
        </w:rPr>
      </w:pPr>
      <w:r>
        <w:rPr>
          <w:rFonts w:hint="eastAsia" w:ascii="宋体" w:hAnsi="宋体"/>
          <w:color w:val="000000"/>
          <w:sz w:val="24"/>
          <w:szCs w:val="24"/>
        </w:rPr>
        <w:t>说明：1．所有价格均系用人民币表示</w:t>
      </w:r>
      <w:r>
        <w:rPr>
          <w:rFonts w:hint="eastAsia" w:ascii="宋体" w:hAnsi="宋体"/>
          <w:b/>
          <w:bCs/>
          <w:color w:val="000000"/>
          <w:sz w:val="24"/>
          <w:szCs w:val="24"/>
        </w:rPr>
        <w:t>，</w:t>
      </w:r>
      <w:r>
        <w:rPr>
          <w:rFonts w:hint="eastAsia" w:ascii="宋体" w:hAnsi="宋体"/>
          <w:color w:val="000000"/>
          <w:sz w:val="24"/>
          <w:szCs w:val="24"/>
        </w:rPr>
        <w:t>单位为元。</w:t>
      </w:r>
    </w:p>
    <w:p>
      <w:pPr>
        <w:pStyle w:val="77"/>
        <w:snapToGrid w:val="0"/>
        <w:ind w:firstLine="120" w:firstLineChars="50"/>
        <w:rPr>
          <w:rFonts w:ascii="宋体" w:hAnsi="宋体"/>
          <w:color w:val="000000"/>
          <w:sz w:val="24"/>
          <w:szCs w:val="24"/>
        </w:rPr>
      </w:pPr>
    </w:p>
    <w:p>
      <w:pPr>
        <w:pStyle w:val="77"/>
        <w:snapToGrid w:val="0"/>
        <w:ind w:firstLine="120" w:firstLineChars="50"/>
        <w:rPr>
          <w:rFonts w:ascii="宋体" w:hAnsi="宋体"/>
          <w:color w:val="000000"/>
          <w:sz w:val="24"/>
          <w:szCs w:val="24"/>
        </w:rPr>
      </w:pPr>
    </w:p>
    <w:p>
      <w:pPr>
        <w:pStyle w:val="77"/>
        <w:ind w:firstLine="120" w:firstLineChars="50"/>
        <w:rPr>
          <w:rFonts w:ascii="宋体" w:hAnsi="宋体"/>
          <w:color w:val="000000"/>
          <w:sz w:val="24"/>
          <w:szCs w:val="24"/>
        </w:rPr>
      </w:pPr>
      <w:r>
        <w:rPr>
          <w:rFonts w:hint="eastAsia" w:ascii="宋体" w:hAnsi="宋体"/>
          <w:color w:val="000000"/>
          <w:sz w:val="24"/>
          <w:szCs w:val="24"/>
        </w:rPr>
        <w:t>供应商法定代表人（签章）：</w:t>
      </w:r>
    </w:p>
    <w:p>
      <w:pPr>
        <w:pStyle w:val="77"/>
        <w:ind w:firstLine="120" w:firstLineChars="50"/>
        <w:rPr>
          <w:rFonts w:ascii="宋体" w:hAnsi="宋体"/>
          <w:color w:val="000000"/>
          <w:sz w:val="24"/>
          <w:szCs w:val="24"/>
          <w:u w:val="single"/>
        </w:rPr>
      </w:pPr>
      <w:r>
        <w:rPr>
          <w:rFonts w:hint="eastAsia" w:ascii="宋体" w:hAnsi="宋体"/>
          <w:color w:val="000000"/>
          <w:sz w:val="24"/>
          <w:szCs w:val="24"/>
        </w:rPr>
        <w:t>供应商名称（签章）：</w:t>
      </w:r>
    </w:p>
    <w:p>
      <w:pPr>
        <w:pStyle w:val="77"/>
        <w:ind w:firstLine="120" w:firstLineChars="50"/>
        <w:rPr>
          <w:rFonts w:ascii="宋体" w:hAnsi="宋体"/>
          <w:color w:val="000000"/>
          <w:sz w:val="24"/>
          <w:szCs w:val="24"/>
        </w:rPr>
      </w:pPr>
      <w:r>
        <w:rPr>
          <w:rFonts w:hint="eastAsia" w:ascii="宋体" w:hAnsi="宋体"/>
          <w:color w:val="000000"/>
          <w:sz w:val="24"/>
          <w:szCs w:val="24"/>
        </w:rPr>
        <w:t>日      期：    年 月 日</w:t>
      </w:r>
    </w:p>
    <w:p>
      <w:pPr>
        <w:pStyle w:val="77"/>
        <w:ind w:firstLine="120" w:firstLineChars="50"/>
        <w:rPr>
          <w:rFonts w:ascii="宋体" w:hAnsi="宋体"/>
          <w:color w:val="000000"/>
          <w:sz w:val="24"/>
          <w:szCs w:val="24"/>
        </w:rPr>
      </w:pPr>
    </w:p>
    <w:p>
      <w:pPr>
        <w:pStyle w:val="77"/>
        <w:ind w:firstLine="120" w:firstLineChars="50"/>
        <w:rPr>
          <w:rFonts w:ascii="宋体" w:hAnsi="宋体"/>
          <w:color w:val="000000"/>
          <w:sz w:val="24"/>
          <w:szCs w:val="24"/>
        </w:rPr>
      </w:pPr>
    </w:p>
    <w:p>
      <w:pPr>
        <w:pStyle w:val="77"/>
        <w:ind w:firstLine="120" w:firstLineChars="50"/>
        <w:rPr>
          <w:rFonts w:ascii="宋体" w:hAnsi="宋体"/>
          <w:color w:val="000000"/>
          <w:sz w:val="24"/>
          <w:szCs w:val="24"/>
        </w:rPr>
      </w:pPr>
    </w:p>
    <w:p>
      <w:pPr>
        <w:pStyle w:val="77"/>
        <w:ind w:firstLine="120" w:firstLineChars="50"/>
        <w:rPr>
          <w:rFonts w:ascii="宋体" w:hAnsi="宋体"/>
          <w:color w:val="000000"/>
          <w:sz w:val="24"/>
          <w:szCs w:val="24"/>
        </w:rPr>
      </w:pPr>
    </w:p>
    <w:p>
      <w:pPr>
        <w:pStyle w:val="77"/>
        <w:ind w:firstLine="120" w:firstLineChars="50"/>
        <w:rPr>
          <w:rFonts w:ascii="宋体" w:hAnsi="宋体"/>
          <w:color w:val="000000"/>
          <w:sz w:val="24"/>
          <w:szCs w:val="24"/>
        </w:rPr>
      </w:pPr>
    </w:p>
    <w:p>
      <w:pPr>
        <w:pStyle w:val="77"/>
        <w:ind w:firstLine="120" w:firstLineChars="50"/>
        <w:rPr>
          <w:rFonts w:ascii="宋体" w:hAnsi="宋体"/>
          <w:color w:val="000000"/>
          <w:sz w:val="24"/>
          <w:szCs w:val="24"/>
        </w:rPr>
      </w:pPr>
    </w:p>
    <w:p>
      <w:pPr>
        <w:pStyle w:val="77"/>
        <w:ind w:firstLine="120" w:firstLineChars="50"/>
        <w:rPr>
          <w:rFonts w:ascii="宋体" w:hAnsi="宋体"/>
          <w:color w:val="000000"/>
          <w:sz w:val="24"/>
          <w:szCs w:val="24"/>
        </w:rPr>
      </w:pPr>
    </w:p>
    <w:p>
      <w:pPr>
        <w:spacing w:line="360" w:lineRule="auto"/>
        <w:jc w:val="center"/>
        <w:rPr>
          <w:b/>
          <w:kern w:val="0"/>
          <w:sz w:val="28"/>
          <w:szCs w:val="28"/>
        </w:rPr>
        <w:sectPr>
          <w:pgSz w:w="11906" w:h="16838"/>
          <w:pgMar w:top="1440" w:right="1230" w:bottom="1440" w:left="1230" w:header="851" w:footer="992" w:gutter="0"/>
          <w:cols w:space="0" w:num="1"/>
          <w:titlePg/>
          <w:docGrid w:type="lines" w:linePitch="314" w:charSpace="0"/>
        </w:sectPr>
      </w:pPr>
      <w:bookmarkStart w:id="591" w:name="_Toc12815"/>
    </w:p>
    <w:p>
      <w:pPr>
        <w:spacing w:line="360" w:lineRule="auto"/>
        <w:jc w:val="center"/>
        <w:rPr>
          <w:b/>
          <w:sz w:val="28"/>
          <w:szCs w:val="28"/>
        </w:rPr>
      </w:pPr>
      <w:r>
        <w:rPr>
          <w:rFonts w:hint="eastAsia"/>
          <w:b/>
          <w:kern w:val="0"/>
          <w:sz w:val="28"/>
          <w:szCs w:val="28"/>
        </w:rPr>
        <w:t>第</w:t>
      </w:r>
      <w:r>
        <w:rPr>
          <w:rFonts w:hint="eastAsia"/>
          <w:b/>
          <w:kern w:val="0"/>
          <w:sz w:val="28"/>
          <w:szCs w:val="28"/>
          <w:u w:val="single"/>
        </w:rPr>
        <w:t xml:space="preserve">    </w:t>
      </w:r>
      <w:r>
        <w:rPr>
          <w:rFonts w:hint="eastAsia"/>
          <w:b/>
          <w:kern w:val="0"/>
          <w:sz w:val="28"/>
          <w:szCs w:val="28"/>
        </w:rPr>
        <w:t>轮报价</w:t>
      </w:r>
      <w:bookmarkEnd w:id="591"/>
    </w:p>
    <w:p>
      <w:pPr>
        <w:pStyle w:val="77"/>
        <w:adjustRightInd w:val="0"/>
        <w:snapToGrid w:val="0"/>
        <w:rPr>
          <w:rFonts w:ascii="宋体" w:hAnsi="宋体" w:cs="宋体"/>
          <w:color w:val="000000"/>
          <w:sz w:val="24"/>
          <w:szCs w:val="24"/>
          <w:u w:val="single"/>
        </w:rPr>
      </w:pPr>
      <w:r>
        <w:rPr>
          <w:rFonts w:hint="eastAsia" w:ascii="宋体" w:hAnsi="宋体" w:cs="宋体"/>
          <w:color w:val="000000"/>
          <w:sz w:val="24"/>
          <w:szCs w:val="24"/>
        </w:rPr>
        <w:t>采购项目编号：</w:t>
      </w:r>
    </w:p>
    <w:p>
      <w:pPr>
        <w:pStyle w:val="77"/>
        <w:adjustRightInd w:val="0"/>
        <w:snapToGrid w:val="0"/>
        <w:spacing w:afterLines="100"/>
        <w:ind w:left="-88" w:leftChars="-42" w:firstLine="120" w:firstLineChars="50"/>
        <w:rPr>
          <w:rFonts w:ascii="宋体" w:hAnsi="宋体" w:cs="宋体"/>
          <w:b/>
          <w:color w:val="000000"/>
          <w:sz w:val="24"/>
          <w:szCs w:val="24"/>
          <w:u w:val="single"/>
        </w:rPr>
      </w:pPr>
      <w:r>
        <w:rPr>
          <w:rFonts w:hint="eastAsia" w:ascii="宋体" w:hAnsi="宋体"/>
          <w:color w:val="000000"/>
          <w:sz w:val="24"/>
          <w:szCs w:val="24"/>
        </w:rPr>
        <w:t>采购项目名称：</w:t>
      </w:r>
    </w:p>
    <w:tbl>
      <w:tblPr>
        <w:tblStyle w:val="37"/>
        <w:tblW w:w="9800"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2"/>
        <w:gridCol w:w="437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562" w:hRule="atLeast"/>
        </w:trPr>
        <w:tc>
          <w:tcPr>
            <w:tcW w:w="5422" w:type="dxa"/>
            <w:vAlign w:val="center"/>
          </w:tcPr>
          <w:p>
            <w:pPr>
              <w:pStyle w:val="77"/>
              <w:ind w:left="1085" w:leftChars="164" w:hanging="741" w:hangingChars="309"/>
              <w:rPr>
                <w:rFonts w:ascii="宋体" w:hAnsi="宋体" w:cs="宋体"/>
                <w:color w:val="000000"/>
                <w:sz w:val="24"/>
                <w:szCs w:val="24"/>
              </w:rPr>
            </w:pPr>
            <w:r>
              <w:rPr>
                <w:rFonts w:hint="eastAsia" w:ascii="宋体" w:hAnsi="宋体" w:cs="宋体"/>
                <w:color w:val="000000"/>
                <w:sz w:val="24"/>
                <w:szCs w:val="24"/>
              </w:rPr>
              <w:t>总价</w:t>
            </w:r>
          </w:p>
        </w:tc>
        <w:tc>
          <w:tcPr>
            <w:tcW w:w="4378" w:type="dxa"/>
            <w:vAlign w:val="center"/>
          </w:tcPr>
          <w:p>
            <w:pPr>
              <w:pStyle w:val="77"/>
              <w:jc w:val="left"/>
              <w:rPr>
                <w:rFonts w:ascii="宋体" w:hAnsi="宋体" w:cs="宋体"/>
                <w:color w:val="000000"/>
                <w:sz w:val="24"/>
                <w:szCs w:val="24"/>
                <w:u w:val="single"/>
              </w:rPr>
            </w:pPr>
            <w:r>
              <w:rPr>
                <w:rFonts w:hint="eastAsia" w:ascii="宋体" w:hAnsi="宋体" w:cs="宋体"/>
                <w:color w:val="000000"/>
                <w:sz w:val="24"/>
                <w:szCs w:val="24"/>
              </w:rPr>
              <w:t>小写：</w:t>
            </w:r>
          </w:p>
          <w:p>
            <w:pPr>
              <w:pStyle w:val="77"/>
              <w:jc w:val="left"/>
              <w:rPr>
                <w:rFonts w:ascii="宋体" w:hAnsi="宋体" w:cs="宋体"/>
                <w:color w:val="000000"/>
                <w:sz w:val="24"/>
                <w:szCs w:val="24"/>
              </w:rPr>
            </w:pPr>
            <w:r>
              <w:rPr>
                <w:rFonts w:hint="eastAsia" w:ascii="宋体" w:hAnsi="宋体" w:cs="宋体"/>
                <w:color w:val="000000"/>
                <w:sz w:val="24"/>
                <w:szCs w:val="24"/>
              </w:rPr>
              <w:t>大写：</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074" w:hRule="exact"/>
        </w:trPr>
        <w:tc>
          <w:tcPr>
            <w:tcW w:w="5422" w:type="dxa"/>
            <w:vAlign w:val="center"/>
          </w:tcPr>
          <w:p>
            <w:pPr>
              <w:pStyle w:val="77"/>
              <w:ind w:left="-38"/>
              <w:jc w:val="center"/>
              <w:rPr>
                <w:rFonts w:ascii="宋体" w:hAnsi="宋体" w:cs="宋体"/>
                <w:color w:val="000000"/>
                <w:sz w:val="24"/>
                <w:szCs w:val="24"/>
              </w:rPr>
            </w:pPr>
            <w:r>
              <w:rPr>
                <w:rFonts w:hint="eastAsia" w:ascii="宋体" w:hAnsi="宋体" w:cs="宋体"/>
                <w:color w:val="000000"/>
                <w:sz w:val="24"/>
                <w:szCs w:val="24"/>
              </w:rPr>
              <w:t xml:space="preserve">        工期</w:t>
            </w:r>
          </w:p>
        </w:tc>
        <w:tc>
          <w:tcPr>
            <w:tcW w:w="4378" w:type="dxa"/>
            <w:vAlign w:val="center"/>
          </w:tcPr>
          <w:p>
            <w:pPr>
              <w:pStyle w:val="77"/>
              <w:ind w:left="-38"/>
              <w:jc w:val="center"/>
              <w:rPr>
                <w:rFonts w:ascii="宋体" w:hAnsi="宋体" w:cs="宋体"/>
                <w:color w:val="000000"/>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110" w:hRule="exact"/>
        </w:trPr>
        <w:tc>
          <w:tcPr>
            <w:tcW w:w="5422" w:type="dxa"/>
            <w:vAlign w:val="center"/>
          </w:tcPr>
          <w:p>
            <w:pPr>
              <w:pStyle w:val="77"/>
              <w:snapToGrid w:val="0"/>
              <w:jc w:val="center"/>
              <w:rPr>
                <w:rFonts w:ascii="宋体" w:hAnsi="宋体" w:cs="宋体"/>
                <w:color w:val="000000"/>
                <w:sz w:val="24"/>
                <w:szCs w:val="24"/>
              </w:rPr>
            </w:pPr>
            <w:r>
              <w:rPr>
                <w:rFonts w:hint="eastAsia" w:ascii="宋体" w:hAnsi="宋体"/>
                <w:color w:val="000000"/>
                <w:sz w:val="24"/>
                <w:szCs w:val="24"/>
              </w:rPr>
              <w:t>质量承诺</w:t>
            </w:r>
          </w:p>
        </w:tc>
        <w:tc>
          <w:tcPr>
            <w:tcW w:w="4378" w:type="dxa"/>
            <w:vAlign w:val="center"/>
          </w:tcPr>
          <w:p>
            <w:pPr>
              <w:pStyle w:val="77"/>
              <w:rPr>
                <w:rFonts w:ascii="宋体" w:hAnsi="宋体" w:cs="宋体"/>
                <w:color w:val="000000"/>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110" w:hRule="exact"/>
        </w:trPr>
        <w:tc>
          <w:tcPr>
            <w:tcW w:w="5422" w:type="dxa"/>
            <w:vAlign w:val="center"/>
          </w:tcPr>
          <w:p>
            <w:pPr>
              <w:pStyle w:val="77"/>
              <w:snapToGrid w:val="0"/>
              <w:jc w:val="center"/>
              <w:rPr>
                <w:rFonts w:ascii="宋体" w:hAnsi="宋体"/>
                <w:color w:val="000000"/>
                <w:sz w:val="24"/>
                <w:szCs w:val="24"/>
              </w:rPr>
            </w:pPr>
            <w:r>
              <w:rPr>
                <w:rFonts w:hint="eastAsia" w:ascii="宋体" w:hAnsi="宋体"/>
                <w:color w:val="000000"/>
                <w:sz w:val="24"/>
                <w:szCs w:val="24"/>
              </w:rPr>
              <w:t>安全目标</w:t>
            </w:r>
          </w:p>
        </w:tc>
        <w:tc>
          <w:tcPr>
            <w:tcW w:w="4378" w:type="dxa"/>
            <w:vAlign w:val="center"/>
          </w:tcPr>
          <w:p>
            <w:pPr>
              <w:pStyle w:val="77"/>
              <w:rPr>
                <w:rFonts w:ascii="宋体" w:hAnsi="宋体" w:cs="宋体"/>
                <w:color w:val="000000"/>
                <w:sz w:val="24"/>
                <w:szCs w:val="24"/>
              </w:rPr>
            </w:pPr>
          </w:p>
        </w:tc>
      </w:tr>
    </w:tbl>
    <w:p>
      <w:pPr>
        <w:pStyle w:val="77"/>
        <w:adjustRightInd w:val="0"/>
        <w:snapToGrid w:val="0"/>
        <w:rPr>
          <w:rFonts w:ascii="宋体" w:hAnsi="宋体" w:cs="宋体"/>
          <w:color w:val="000000"/>
          <w:sz w:val="24"/>
          <w:szCs w:val="24"/>
        </w:rPr>
      </w:pPr>
      <w:r>
        <w:rPr>
          <w:rFonts w:hint="eastAsia" w:ascii="宋体" w:hAnsi="宋体" w:cs="宋体"/>
          <w:color w:val="000000"/>
          <w:sz w:val="24"/>
          <w:szCs w:val="24"/>
        </w:rPr>
        <w:t>说明：1．所有价格均用人民币表示，单位为元。</w:t>
      </w:r>
    </w:p>
    <w:p>
      <w:pPr>
        <w:spacing w:line="360" w:lineRule="auto"/>
        <w:rPr>
          <w:rFonts w:ascii="仿宋_GB2312" w:hAnsi="仿宋_GB2312" w:eastAsia="仿宋_GB2312" w:cs="仿宋_GB2312"/>
          <w:b/>
          <w:sz w:val="24"/>
          <w:szCs w:val="24"/>
        </w:rPr>
      </w:pPr>
    </w:p>
    <w:p>
      <w:pPr>
        <w:spacing w:line="360" w:lineRule="auto"/>
        <w:rPr>
          <w:rFonts w:ascii="宋体" w:hAnsi="宋体" w:cs="仿宋_GB2312"/>
          <w:b/>
          <w:sz w:val="24"/>
          <w:szCs w:val="24"/>
        </w:rPr>
      </w:pPr>
      <w:r>
        <w:rPr>
          <w:rFonts w:hint="eastAsia" w:ascii="宋体" w:hAnsi="宋体" w:cs="仿宋_GB2312"/>
          <w:b/>
          <w:sz w:val="24"/>
          <w:szCs w:val="24"/>
        </w:rPr>
        <w:t>此报价表由供应商单独自行打印至少1-3份后加盖单位公章，携带至谈判现场，现场填写。</w:t>
      </w:r>
    </w:p>
    <w:p>
      <w:pPr>
        <w:spacing w:line="360" w:lineRule="auto"/>
      </w:pPr>
    </w:p>
    <w:p>
      <w:pPr>
        <w:pStyle w:val="77"/>
        <w:rPr>
          <w:color w:val="000000"/>
          <w:sz w:val="24"/>
          <w:szCs w:val="24"/>
        </w:rPr>
      </w:pPr>
    </w:p>
    <w:p>
      <w:pPr>
        <w:pStyle w:val="77"/>
        <w:ind w:left="0" w:firstLine="0"/>
        <w:rPr>
          <w:color w:val="000000"/>
          <w:sz w:val="24"/>
          <w:szCs w:val="24"/>
        </w:rPr>
      </w:pPr>
    </w:p>
    <w:p>
      <w:pPr>
        <w:pStyle w:val="77"/>
        <w:adjustRightInd w:val="0"/>
        <w:snapToGrid w:val="0"/>
        <w:rPr>
          <w:rFonts w:ascii="宋体" w:hAnsi="宋体"/>
          <w:color w:val="000000"/>
          <w:sz w:val="24"/>
          <w:szCs w:val="24"/>
        </w:rPr>
      </w:pPr>
      <w:r>
        <w:rPr>
          <w:rFonts w:hint="eastAsia" w:ascii="宋体" w:hAnsi="宋体"/>
          <w:color w:val="000000"/>
          <w:sz w:val="24"/>
          <w:szCs w:val="24"/>
        </w:rPr>
        <w:t>供应商法定代表人（签章）：</w:t>
      </w:r>
    </w:p>
    <w:p>
      <w:pPr>
        <w:pStyle w:val="77"/>
        <w:adjustRightInd w:val="0"/>
        <w:snapToGrid w:val="0"/>
        <w:rPr>
          <w:rFonts w:ascii="宋体" w:hAnsi="宋体"/>
          <w:color w:val="000000"/>
          <w:sz w:val="24"/>
          <w:szCs w:val="24"/>
          <w:u w:val="single"/>
        </w:rPr>
      </w:pPr>
      <w:r>
        <w:rPr>
          <w:rFonts w:hint="eastAsia" w:ascii="宋体" w:hAnsi="宋体"/>
          <w:color w:val="000000"/>
          <w:sz w:val="24"/>
          <w:szCs w:val="24"/>
        </w:rPr>
        <w:t>供应商名称（签章）：</w:t>
      </w:r>
    </w:p>
    <w:p>
      <w:pPr>
        <w:pStyle w:val="77"/>
        <w:adjustRightInd w:val="0"/>
        <w:snapToGrid w:val="0"/>
        <w:rPr>
          <w:rFonts w:ascii="宋体" w:hAnsi="宋体"/>
          <w:color w:val="000000"/>
          <w:sz w:val="24"/>
          <w:szCs w:val="24"/>
        </w:rPr>
      </w:pPr>
      <w:r>
        <w:rPr>
          <w:rFonts w:hint="eastAsia" w:ascii="宋体" w:hAnsi="宋体"/>
          <w:color w:val="000000"/>
          <w:sz w:val="24"/>
          <w:szCs w:val="24"/>
        </w:rPr>
        <w:t>日期：    年 月 日</w:t>
      </w:r>
    </w:p>
    <w:p>
      <w:pPr>
        <w:spacing w:line="360" w:lineRule="auto"/>
      </w:pPr>
    </w:p>
    <w:p>
      <w:pPr>
        <w:spacing w:line="360" w:lineRule="auto"/>
      </w:pPr>
    </w:p>
    <w:p>
      <w:pPr>
        <w:spacing w:line="360" w:lineRule="auto"/>
      </w:pPr>
    </w:p>
    <w:p>
      <w:pPr>
        <w:spacing w:line="360" w:lineRule="auto"/>
        <w:jc w:val="center"/>
        <w:rPr>
          <w:b/>
          <w:sz w:val="28"/>
          <w:szCs w:val="28"/>
        </w:rPr>
        <w:sectPr>
          <w:pgSz w:w="11906" w:h="16838"/>
          <w:pgMar w:top="1440" w:right="1230" w:bottom="1440" w:left="1230" w:header="851" w:footer="992" w:gutter="0"/>
          <w:cols w:space="0" w:num="1"/>
          <w:titlePg/>
          <w:docGrid w:type="lines" w:linePitch="314" w:charSpace="0"/>
        </w:sectPr>
      </w:pPr>
    </w:p>
    <w:p>
      <w:pPr>
        <w:spacing w:line="360" w:lineRule="auto"/>
        <w:jc w:val="center"/>
        <w:rPr>
          <w:b/>
          <w:sz w:val="28"/>
          <w:szCs w:val="28"/>
        </w:rPr>
      </w:pPr>
      <w:r>
        <w:rPr>
          <w:rFonts w:hint="eastAsia"/>
          <w:b/>
          <w:sz w:val="28"/>
          <w:szCs w:val="28"/>
        </w:rPr>
        <w:t>谈判报价清单</w:t>
      </w:r>
    </w:p>
    <w:p>
      <w:pPr>
        <w:pStyle w:val="77"/>
        <w:adjustRightInd w:val="0"/>
        <w:snapToGrid w:val="0"/>
        <w:rPr>
          <w:rFonts w:asciiTheme="minorEastAsia" w:hAnsiTheme="minorEastAsia" w:eastAsiaTheme="minorEastAsia" w:cstheme="minorEastAsia"/>
          <w:sz w:val="24"/>
          <w:szCs w:val="24"/>
        </w:rPr>
      </w:pPr>
    </w:p>
    <w:p>
      <w:pPr>
        <w:pStyle w:val="77"/>
        <w:adjustRightInd w:val="0"/>
        <w:snapToGrid w:val="0"/>
        <w:ind w:left="1079" w:leftChars="342" w:hanging="361" w:hangingChars="129"/>
        <w:rPr>
          <w:rFonts w:ascii="宋体" w:hAnsi="宋体"/>
          <w:szCs w:val="28"/>
        </w:rPr>
      </w:pPr>
    </w:p>
    <w:p>
      <w:pPr>
        <w:pStyle w:val="77"/>
        <w:adjustRightInd w:val="0"/>
        <w:snapToGrid w:val="0"/>
        <w:ind w:left="1079" w:leftChars="342" w:hanging="361" w:hangingChars="129"/>
        <w:rPr>
          <w:rFonts w:ascii="宋体" w:hAnsi="宋体"/>
          <w:szCs w:val="28"/>
        </w:rPr>
      </w:pPr>
    </w:p>
    <w:p>
      <w:pPr>
        <w:pStyle w:val="77"/>
        <w:adjustRightInd w:val="0"/>
        <w:snapToGrid w:val="0"/>
        <w:ind w:left="1079" w:leftChars="342" w:hanging="361" w:hangingChars="129"/>
        <w:rPr>
          <w:rFonts w:ascii="宋体" w:hAnsi="宋体"/>
          <w:szCs w:val="28"/>
        </w:rPr>
      </w:pPr>
    </w:p>
    <w:p>
      <w:pPr>
        <w:pStyle w:val="77"/>
        <w:adjustRightInd w:val="0"/>
        <w:snapToGrid w:val="0"/>
        <w:ind w:left="1079" w:leftChars="342" w:hanging="361" w:hangingChars="129"/>
        <w:rPr>
          <w:rFonts w:ascii="宋体" w:hAnsi="宋体"/>
          <w:szCs w:val="28"/>
        </w:rPr>
      </w:pPr>
    </w:p>
    <w:p>
      <w:pPr>
        <w:pStyle w:val="77"/>
        <w:adjustRightInd w:val="0"/>
        <w:snapToGrid w:val="0"/>
        <w:ind w:left="1079" w:leftChars="342" w:hanging="361" w:hangingChars="129"/>
        <w:rPr>
          <w:rFonts w:ascii="宋体" w:hAnsi="宋体"/>
          <w:szCs w:val="28"/>
        </w:rPr>
      </w:pPr>
    </w:p>
    <w:p>
      <w:pPr>
        <w:spacing w:line="360" w:lineRule="auto"/>
        <w:jc w:val="center"/>
        <w:rPr>
          <w:b/>
          <w:sz w:val="28"/>
          <w:szCs w:val="28"/>
        </w:rPr>
        <w:sectPr>
          <w:pgSz w:w="11906" w:h="16838"/>
          <w:pgMar w:top="1440" w:right="1230" w:bottom="1440" w:left="1230" w:header="851" w:footer="992" w:gutter="0"/>
          <w:cols w:space="0" w:num="1"/>
          <w:titlePg/>
          <w:docGrid w:type="lines" w:linePitch="314" w:charSpace="0"/>
        </w:sectPr>
      </w:pPr>
      <w:bookmarkStart w:id="592" w:name="_Toc536447087"/>
    </w:p>
    <w:p>
      <w:pPr>
        <w:spacing w:line="360" w:lineRule="auto"/>
        <w:jc w:val="center"/>
        <w:rPr>
          <w:b/>
          <w:sz w:val="28"/>
          <w:szCs w:val="28"/>
        </w:rPr>
      </w:pPr>
      <w:r>
        <w:rPr>
          <w:rFonts w:hint="eastAsia"/>
          <w:b/>
          <w:sz w:val="28"/>
          <w:szCs w:val="28"/>
        </w:rPr>
        <w:t>法定代表人资格证明文件</w:t>
      </w:r>
      <w:bookmarkEnd w:id="592"/>
    </w:p>
    <w:p>
      <w:pPr>
        <w:pStyle w:val="77"/>
        <w:adjustRightInd w:val="0"/>
        <w:snapToGrid w:val="0"/>
        <w:jc w:val="left"/>
        <w:rPr>
          <w:rFonts w:ascii="宋体" w:hAnsi="宋体"/>
          <w:szCs w:val="28"/>
        </w:rPr>
      </w:pPr>
      <w:r>
        <w:rPr>
          <w:rFonts w:hint="eastAsia" w:ascii="宋体" w:hAnsi="宋体"/>
          <w:szCs w:val="28"/>
          <w:u w:val="single"/>
        </w:rPr>
        <w:t>（代理机构名称）</w:t>
      </w:r>
      <w:r>
        <w:rPr>
          <w:rFonts w:hint="eastAsia" w:ascii="宋体" w:hAnsi="宋体"/>
          <w:szCs w:val="28"/>
        </w:rPr>
        <w:t>：</w:t>
      </w:r>
    </w:p>
    <w:p>
      <w:pPr>
        <w:pStyle w:val="77"/>
        <w:adjustRightInd w:val="0"/>
        <w:snapToGrid w:val="0"/>
        <w:ind w:left="0" w:firstLine="420" w:firstLineChars="150"/>
        <w:jc w:val="left"/>
        <w:rPr>
          <w:rFonts w:ascii="宋体" w:hAnsi="宋体"/>
          <w:szCs w:val="28"/>
        </w:rPr>
      </w:pPr>
      <w:r>
        <w:rPr>
          <w:rFonts w:hint="eastAsia" w:ascii="宋体" w:hAnsi="宋体"/>
          <w:szCs w:val="28"/>
        </w:rPr>
        <w:t>兹有</w:t>
      </w:r>
      <w:r>
        <w:rPr>
          <w:rFonts w:hint="eastAsia" w:ascii="宋体" w:hAnsi="宋体"/>
          <w:szCs w:val="28"/>
          <w:u w:val="single"/>
        </w:rPr>
        <w:t xml:space="preserve">      </w:t>
      </w:r>
      <w:r>
        <w:rPr>
          <w:rFonts w:hint="eastAsia" w:ascii="宋体" w:hAnsi="宋体"/>
          <w:szCs w:val="28"/>
        </w:rPr>
        <w:t xml:space="preserve">同志为法定代表人，代表我单位办理一切社会公务事宜，具有法律效力。 </w:t>
      </w:r>
    </w:p>
    <w:p>
      <w:pPr>
        <w:pStyle w:val="77"/>
        <w:adjustRightInd w:val="0"/>
        <w:snapToGrid w:val="0"/>
        <w:ind w:left="1069" w:leftChars="200" w:hanging="649" w:hangingChars="232"/>
        <w:jc w:val="left"/>
        <w:rPr>
          <w:rFonts w:ascii="宋体" w:hAnsi="宋体"/>
          <w:szCs w:val="28"/>
        </w:rPr>
      </w:pPr>
      <w:r>
        <w:rPr>
          <w:rFonts w:hint="eastAsia" w:ascii="宋体" w:hAnsi="宋体"/>
          <w:szCs w:val="28"/>
        </w:rPr>
        <w:t xml:space="preserve">附法定代表人基本情况： </w:t>
      </w:r>
    </w:p>
    <w:p>
      <w:pPr>
        <w:pStyle w:val="77"/>
        <w:adjustRightInd w:val="0"/>
        <w:snapToGrid w:val="0"/>
        <w:ind w:left="1069" w:leftChars="200" w:hanging="649" w:hangingChars="232"/>
        <w:jc w:val="left"/>
        <w:rPr>
          <w:rFonts w:ascii="宋体" w:hAnsi="宋体"/>
          <w:szCs w:val="28"/>
          <w:u w:val="single"/>
        </w:rPr>
      </w:pPr>
      <w:r>
        <w:rPr>
          <w:rFonts w:hint="eastAsia" w:ascii="宋体" w:hAnsi="宋体"/>
          <w:szCs w:val="28"/>
        </w:rPr>
        <w:t>姓名：</w:t>
      </w:r>
    </w:p>
    <w:p>
      <w:pPr>
        <w:pStyle w:val="77"/>
        <w:adjustRightInd w:val="0"/>
        <w:snapToGrid w:val="0"/>
        <w:ind w:left="1069" w:leftChars="200" w:hanging="649" w:hangingChars="232"/>
        <w:jc w:val="left"/>
        <w:rPr>
          <w:rFonts w:ascii="宋体" w:hAnsi="宋体"/>
          <w:szCs w:val="28"/>
        </w:rPr>
      </w:pPr>
      <w:r>
        <w:rPr>
          <w:rFonts w:hint="eastAsia" w:ascii="宋体" w:hAnsi="宋体"/>
          <w:szCs w:val="28"/>
        </w:rPr>
        <w:t>身份证号码：</w:t>
      </w:r>
    </w:p>
    <w:p>
      <w:pPr>
        <w:pStyle w:val="77"/>
        <w:adjustRightInd w:val="0"/>
        <w:snapToGrid w:val="0"/>
        <w:ind w:left="1069" w:leftChars="200" w:hanging="649" w:hangingChars="232"/>
        <w:jc w:val="left"/>
        <w:rPr>
          <w:rFonts w:ascii="宋体" w:hAnsi="宋体"/>
          <w:szCs w:val="28"/>
        </w:rPr>
      </w:pPr>
      <w:r>
        <w:rPr>
          <w:rFonts w:hint="eastAsia" w:ascii="宋体" w:hAnsi="宋体"/>
          <w:szCs w:val="28"/>
        </w:rPr>
        <w:t>通讯地址：</w:t>
      </w:r>
    </w:p>
    <w:p>
      <w:pPr>
        <w:pStyle w:val="77"/>
        <w:adjustRightInd w:val="0"/>
        <w:snapToGrid w:val="0"/>
        <w:ind w:left="1069" w:leftChars="200" w:hanging="649" w:hangingChars="232"/>
        <w:jc w:val="left"/>
        <w:rPr>
          <w:rFonts w:ascii="宋体" w:hAnsi="宋体"/>
          <w:szCs w:val="28"/>
        </w:rPr>
      </w:pPr>
      <w:r>
        <w:rPr>
          <w:rFonts w:hint="eastAsia" w:ascii="宋体" w:hAnsi="宋体"/>
          <w:szCs w:val="28"/>
        </w:rPr>
        <w:t>电话号码：        邮政编码：</w:t>
      </w:r>
    </w:p>
    <w:p>
      <w:pPr>
        <w:pStyle w:val="77"/>
        <w:adjustRightInd w:val="0"/>
        <w:snapToGrid w:val="0"/>
        <w:rPr>
          <w:rFonts w:ascii="宋体" w:hAnsi="宋体"/>
          <w:szCs w:val="28"/>
        </w:rPr>
      </w:pPr>
    </w:p>
    <w:tbl>
      <w:tblPr>
        <w:tblStyle w:val="37"/>
        <w:tblW w:w="6804" w:type="dxa"/>
        <w:tblInd w:w="7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trPr>
        <w:tc>
          <w:tcPr>
            <w:tcW w:w="6804" w:type="dxa"/>
            <w:tcBorders>
              <w:top w:val="single" w:color="auto" w:sz="4" w:space="0"/>
              <w:left w:val="single" w:color="auto" w:sz="4" w:space="0"/>
              <w:bottom w:val="single" w:color="auto" w:sz="4" w:space="0"/>
              <w:right w:val="single" w:color="auto" w:sz="4" w:space="0"/>
            </w:tcBorders>
          </w:tcPr>
          <w:p>
            <w:pPr>
              <w:pStyle w:val="77"/>
              <w:adjustRightInd w:val="0"/>
              <w:snapToGrid w:val="0"/>
              <w:jc w:val="center"/>
              <w:rPr>
                <w:rFonts w:ascii="宋体" w:hAnsi="宋体"/>
                <w:szCs w:val="28"/>
              </w:rPr>
            </w:pPr>
          </w:p>
          <w:p>
            <w:pPr>
              <w:pStyle w:val="77"/>
              <w:adjustRightInd w:val="0"/>
              <w:snapToGrid w:val="0"/>
              <w:jc w:val="center"/>
              <w:rPr>
                <w:rFonts w:ascii="宋体" w:hAnsi="宋体"/>
                <w:szCs w:val="28"/>
              </w:rPr>
            </w:pPr>
          </w:p>
          <w:p>
            <w:pPr>
              <w:pStyle w:val="77"/>
              <w:adjustRightInd w:val="0"/>
              <w:snapToGrid w:val="0"/>
              <w:jc w:val="center"/>
              <w:rPr>
                <w:rFonts w:ascii="宋体" w:hAnsi="宋体"/>
                <w:szCs w:val="28"/>
              </w:rPr>
            </w:pPr>
            <w:r>
              <w:rPr>
                <w:rFonts w:hint="eastAsia" w:ascii="宋体" w:hAnsi="宋体"/>
                <w:szCs w:val="28"/>
              </w:rPr>
              <w:t>法定代表人《居民身份证》正反面扫描件</w:t>
            </w:r>
          </w:p>
        </w:tc>
      </w:tr>
    </w:tbl>
    <w:p>
      <w:pPr>
        <w:pStyle w:val="77"/>
        <w:adjustRightInd w:val="0"/>
        <w:snapToGrid w:val="0"/>
        <w:rPr>
          <w:rFonts w:ascii="宋体" w:hAnsi="宋体"/>
          <w:szCs w:val="28"/>
        </w:rPr>
      </w:pPr>
    </w:p>
    <w:p>
      <w:pPr>
        <w:pStyle w:val="77"/>
        <w:tabs>
          <w:tab w:val="left" w:pos="750"/>
        </w:tabs>
        <w:adjustRightInd w:val="0"/>
        <w:snapToGrid w:val="0"/>
        <w:rPr>
          <w:rFonts w:ascii="宋体" w:hAnsi="宋体"/>
          <w:szCs w:val="28"/>
        </w:rPr>
      </w:pPr>
      <w:r>
        <w:rPr>
          <w:rFonts w:hint="eastAsia" w:ascii="宋体" w:hAnsi="宋体"/>
          <w:szCs w:val="28"/>
        </w:rPr>
        <w:tab/>
      </w:r>
      <w:r>
        <w:rPr>
          <w:rFonts w:hint="eastAsia" w:ascii="宋体" w:hAnsi="宋体"/>
          <w:szCs w:val="28"/>
        </w:rPr>
        <w:t>供应商名称（签章）：</w:t>
      </w:r>
    </w:p>
    <w:p>
      <w:pPr>
        <w:pStyle w:val="77"/>
        <w:tabs>
          <w:tab w:val="left" w:pos="750"/>
        </w:tabs>
        <w:adjustRightInd w:val="0"/>
        <w:snapToGrid w:val="0"/>
        <w:ind w:left="1069" w:leftChars="400" w:hanging="229" w:hangingChars="82"/>
        <w:rPr>
          <w:rFonts w:ascii="宋体" w:hAnsi="宋体"/>
          <w:szCs w:val="28"/>
        </w:rPr>
      </w:pPr>
      <w:r>
        <w:rPr>
          <w:rFonts w:hint="eastAsia" w:ascii="宋体" w:hAnsi="宋体"/>
          <w:szCs w:val="28"/>
        </w:rPr>
        <w:t>法定代表人（签章） ：</w:t>
      </w:r>
    </w:p>
    <w:p>
      <w:pPr>
        <w:pStyle w:val="77"/>
        <w:tabs>
          <w:tab w:val="left" w:pos="750"/>
        </w:tabs>
        <w:adjustRightInd w:val="0"/>
        <w:snapToGrid w:val="0"/>
        <w:ind w:left="1069" w:leftChars="400" w:hanging="229" w:hangingChars="82"/>
        <w:rPr>
          <w:rFonts w:ascii="宋体" w:hAnsi="宋体"/>
          <w:szCs w:val="28"/>
        </w:rPr>
      </w:pPr>
      <w:r>
        <w:rPr>
          <w:rFonts w:hint="eastAsia" w:ascii="宋体" w:hAnsi="宋体"/>
          <w:szCs w:val="28"/>
        </w:rPr>
        <w:t>日期：年月日</w:t>
      </w:r>
    </w:p>
    <w:p>
      <w:pPr>
        <w:spacing w:line="360" w:lineRule="auto"/>
        <w:jc w:val="center"/>
        <w:rPr>
          <w:b/>
        </w:rPr>
      </w:pPr>
      <w:bookmarkStart w:id="593" w:name="_Toc5576"/>
      <w:r>
        <w:rPr>
          <w:rFonts w:hint="eastAsia"/>
          <w:b/>
        </w:rPr>
        <w:t>注：本表适用于法人</w:t>
      </w:r>
      <w:r>
        <w:rPr>
          <w:b/>
        </w:rPr>
        <w:br w:type="page"/>
      </w:r>
      <w:bookmarkEnd w:id="593"/>
    </w:p>
    <w:p>
      <w:pPr>
        <w:spacing w:line="360" w:lineRule="auto"/>
        <w:jc w:val="center"/>
        <w:rPr>
          <w:b/>
          <w:sz w:val="28"/>
          <w:szCs w:val="28"/>
        </w:rPr>
      </w:pPr>
      <w:r>
        <w:rPr>
          <w:rFonts w:hint="eastAsia"/>
          <w:b/>
          <w:sz w:val="28"/>
          <w:szCs w:val="28"/>
        </w:rPr>
        <w:t>单位负责人资格证明文件</w:t>
      </w:r>
    </w:p>
    <w:p>
      <w:pPr>
        <w:pStyle w:val="77"/>
        <w:adjustRightInd w:val="0"/>
        <w:snapToGrid w:val="0"/>
        <w:rPr>
          <w:rFonts w:ascii="宋体" w:hAnsi="宋体"/>
          <w:szCs w:val="28"/>
        </w:rPr>
      </w:pPr>
      <w:r>
        <w:rPr>
          <w:rFonts w:hint="eastAsia" w:ascii="宋体" w:hAnsi="宋体"/>
          <w:szCs w:val="28"/>
          <w:u w:val="single"/>
        </w:rPr>
        <w:t>（代理机构名称）</w:t>
      </w:r>
      <w:r>
        <w:rPr>
          <w:rFonts w:hint="eastAsia" w:ascii="宋体" w:hAnsi="宋体"/>
          <w:szCs w:val="28"/>
        </w:rPr>
        <w:t>：</w:t>
      </w:r>
    </w:p>
    <w:p>
      <w:pPr>
        <w:pStyle w:val="77"/>
        <w:adjustRightInd w:val="0"/>
        <w:snapToGrid w:val="0"/>
        <w:ind w:left="0" w:firstLine="560" w:firstLineChars="200"/>
        <w:rPr>
          <w:rFonts w:ascii="宋体" w:hAnsi="宋体"/>
          <w:szCs w:val="28"/>
        </w:rPr>
      </w:pPr>
      <w:r>
        <w:rPr>
          <w:rFonts w:hint="eastAsia" w:ascii="宋体" w:hAnsi="宋体"/>
          <w:szCs w:val="28"/>
        </w:rPr>
        <w:t>兹有</w:t>
      </w:r>
      <w:r>
        <w:rPr>
          <w:rFonts w:hint="eastAsia" w:ascii="宋体" w:hAnsi="宋体"/>
          <w:szCs w:val="28"/>
          <w:u w:val="single"/>
        </w:rPr>
        <w:t xml:space="preserve">    </w:t>
      </w:r>
      <w:r>
        <w:rPr>
          <w:rFonts w:hint="eastAsia" w:ascii="宋体" w:hAnsi="宋体"/>
          <w:szCs w:val="28"/>
        </w:rPr>
        <w:t xml:space="preserve"> 同志为负责人，代表我单位办理一切社会公务事宜，具有法律效力。 </w:t>
      </w:r>
    </w:p>
    <w:p>
      <w:pPr>
        <w:pStyle w:val="77"/>
        <w:adjustRightInd w:val="0"/>
        <w:snapToGrid w:val="0"/>
        <w:ind w:left="1427" w:leftChars="304" w:hanging="789" w:hangingChars="282"/>
        <w:rPr>
          <w:rFonts w:ascii="宋体" w:hAnsi="宋体"/>
          <w:szCs w:val="28"/>
        </w:rPr>
      </w:pPr>
      <w:r>
        <w:rPr>
          <w:rFonts w:hint="eastAsia" w:ascii="宋体" w:hAnsi="宋体"/>
          <w:szCs w:val="28"/>
        </w:rPr>
        <w:t xml:space="preserve">附单位负责人基本情况： </w:t>
      </w:r>
    </w:p>
    <w:p>
      <w:pPr>
        <w:pStyle w:val="77"/>
        <w:adjustRightInd w:val="0"/>
        <w:snapToGrid w:val="0"/>
        <w:ind w:left="1070" w:leftChars="334" w:hanging="369" w:hangingChars="132"/>
        <w:rPr>
          <w:rFonts w:ascii="宋体" w:hAnsi="宋体"/>
          <w:szCs w:val="28"/>
          <w:u w:val="single"/>
        </w:rPr>
      </w:pPr>
      <w:r>
        <w:rPr>
          <w:rFonts w:hint="eastAsia" w:ascii="宋体" w:hAnsi="宋体"/>
          <w:szCs w:val="28"/>
        </w:rPr>
        <w:t>姓名：职务：</w:t>
      </w:r>
    </w:p>
    <w:p>
      <w:pPr>
        <w:pStyle w:val="77"/>
        <w:adjustRightInd w:val="0"/>
        <w:snapToGrid w:val="0"/>
        <w:ind w:left="1070" w:leftChars="334" w:hanging="369" w:hangingChars="132"/>
        <w:rPr>
          <w:rFonts w:ascii="宋体" w:hAnsi="宋体"/>
          <w:szCs w:val="28"/>
        </w:rPr>
      </w:pPr>
      <w:r>
        <w:rPr>
          <w:rFonts w:hint="eastAsia" w:ascii="宋体" w:hAnsi="宋体"/>
          <w:szCs w:val="28"/>
        </w:rPr>
        <w:t>身份证号码：</w:t>
      </w:r>
    </w:p>
    <w:p>
      <w:pPr>
        <w:pStyle w:val="77"/>
        <w:adjustRightInd w:val="0"/>
        <w:snapToGrid w:val="0"/>
        <w:ind w:left="1070" w:leftChars="334" w:hanging="369" w:hangingChars="132"/>
        <w:rPr>
          <w:rFonts w:ascii="宋体" w:hAnsi="宋体"/>
          <w:szCs w:val="28"/>
        </w:rPr>
      </w:pPr>
      <w:r>
        <w:rPr>
          <w:rFonts w:hint="eastAsia" w:ascii="宋体" w:hAnsi="宋体"/>
          <w:szCs w:val="28"/>
        </w:rPr>
        <w:t>通讯地址：</w:t>
      </w:r>
    </w:p>
    <w:p>
      <w:pPr>
        <w:pStyle w:val="77"/>
        <w:adjustRightInd w:val="0"/>
        <w:snapToGrid w:val="0"/>
        <w:ind w:left="1070" w:leftChars="334" w:hanging="369" w:hangingChars="132"/>
        <w:rPr>
          <w:rFonts w:ascii="宋体" w:hAnsi="宋体"/>
          <w:szCs w:val="28"/>
        </w:rPr>
      </w:pPr>
      <w:r>
        <w:rPr>
          <w:rFonts w:hint="eastAsia" w:ascii="宋体" w:hAnsi="宋体"/>
          <w:szCs w:val="28"/>
        </w:rPr>
        <w:t>电话号码：       邮政编码：</w:t>
      </w:r>
    </w:p>
    <w:p>
      <w:pPr>
        <w:pStyle w:val="77"/>
        <w:adjustRightInd w:val="0"/>
        <w:snapToGrid w:val="0"/>
        <w:rPr>
          <w:rFonts w:ascii="宋体" w:hAnsi="宋体"/>
          <w:szCs w:val="28"/>
        </w:rPr>
      </w:pPr>
    </w:p>
    <w:tbl>
      <w:tblPr>
        <w:tblStyle w:val="37"/>
        <w:tblW w:w="6804" w:type="dxa"/>
        <w:tblInd w:w="13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trPr>
        <w:tc>
          <w:tcPr>
            <w:tcW w:w="6804" w:type="dxa"/>
            <w:tcBorders>
              <w:top w:val="single" w:color="auto" w:sz="4" w:space="0"/>
              <w:left w:val="single" w:color="auto" w:sz="4" w:space="0"/>
              <w:bottom w:val="single" w:color="auto" w:sz="4" w:space="0"/>
              <w:right w:val="single" w:color="auto" w:sz="4" w:space="0"/>
            </w:tcBorders>
          </w:tcPr>
          <w:p>
            <w:pPr>
              <w:pStyle w:val="77"/>
              <w:adjustRightInd w:val="0"/>
              <w:snapToGrid w:val="0"/>
              <w:jc w:val="center"/>
              <w:rPr>
                <w:rFonts w:ascii="宋体" w:hAnsi="宋体"/>
                <w:szCs w:val="28"/>
              </w:rPr>
            </w:pPr>
          </w:p>
          <w:p>
            <w:pPr>
              <w:pStyle w:val="77"/>
              <w:adjustRightInd w:val="0"/>
              <w:snapToGrid w:val="0"/>
              <w:jc w:val="center"/>
              <w:rPr>
                <w:rFonts w:ascii="宋体" w:hAnsi="宋体"/>
                <w:szCs w:val="28"/>
              </w:rPr>
            </w:pPr>
          </w:p>
          <w:p>
            <w:pPr>
              <w:pStyle w:val="77"/>
              <w:adjustRightInd w:val="0"/>
              <w:snapToGrid w:val="0"/>
              <w:jc w:val="center"/>
              <w:rPr>
                <w:rFonts w:ascii="宋体" w:hAnsi="宋体"/>
                <w:szCs w:val="28"/>
              </w:rPr>
            </w:pPr>
            <w:r>
              <w:rPr>
                <w:rFonts w:hint="eastAsia" w:ascii="宋体" w:hAnsi="宋体"/>
                <w:szCs w:val="28"/>
              </w:rPr>
              <w:t>单位负责人《居民身份证》扫描件</w:t>
            </w:r>
          </w:p>
        </w:tc>
      </w:tr>
    </w:tbl>
    <w:p>
      <w:pPr>
        <w:pStyle w:val="77"/>
        <w:adjustRightInd w:val="0"/>
        <w:snapToGrid w:val="0"/>
        <w:rPr>
          <w:rFonts w:ascii="宋体" w:hAnsi="宋体"/>
          <w:szCs w:val="28"/>
        </w:rPr>
      </w:pPr>
    </w:p>
    <w:p>
      <w:pPr>
        <w:pStyle w:val="77"/>
        <w:tabs>
          <w:tab w:val="left" w:pos="750"/>
        </w:tabs>
        <w:adjustRightInd w:val="0"/>
        <w:snapToGrid w:val="0"/>
        <w:rPr>
          <w:rFonts w:ascii="宋体" w:hAnsi="宋体"/>
          <w:szCs w:val="28"/>
        </w:rPr>
      </w:pPr>
      <w:r>
        <w:rPr>
          <w:rFonts w:hint="eastAsia" w:ascii="宋体" w:hAnsi="宋体"/>
          <w:szCs w:val="28"/>
        </w:rPr>
        <w:tab/>
      </w:r>
      <w:r>
        <w:rPr>
          <w:rFonts w:hint="eastAsia" w:ascii="宋体" w:hAnsi="宋体"/>
          <w:szCs w:val="28"/>
        </w:rPr>
        <w:t>供应商名称（签章）：</w:t>
      </w:r>
    </w:p>
    <w:p>
      <w:pPr>
        <w:pStyle w:val="77"/>
        <w:tabs>
          <w:tab w:val="left" w:pos="750"/>
        </w:tabs>
        <w:adjustRightInd w:val="0"/>
        <w:snapToGrid w:val="0"/>
        <w:ind w:left="1070" w:leftChars="334" w:hanging="369" w:hangingChars="132"/>
        <w:rPr>
          <w:rFonts w:ascii="宋体" w:hAnsi="宋体"/>
          <w:szCs w:val="28"/>
        </w:rPr>
      </w:pPr>
      <w:r>
        <w:rPr>
          <w:rFonts w:hint="eastAsia" w:ascii="宋体" w:hAnsi="宋体"/>
          <w:szCs w:val="28"/>
        </w:rPr>
        <w:t>负责人（签  章） ：</w:t>
      </w:r>
    </w:p>
    <w:p>
      <w:pPr>
        <w:pStyle w:val="77"/>
        <w:tabs>
          <w:tab w:val="left" w:pos="750"/>
        </w:tabs>
        <w:adjustRightInd w:val="0"/>
        <w:snapToGrid w:val="0"/>
        <w:ind w:left="1604" w:leftChars="388" w:hanging="789" w:hangingChars="282"/>
        <w:rPr>
          <w:rFonts w:ascii="宋体" w:hAnsi="宋体"/>
          <w:szCs w:val="28"/>
        </w:rPr>
      </w:pPr>
      <w:r>
        <w:rPr>
          <w:rFonts w:hint="eastAsia" w:ascii="宋体" w:hAnsi="宋体"/>
          <w:szCs w:val="28"/>
        </w:rPr>
        <w:t>日期：年月日</w:t>
      </w:r>
    </w:p>
    <w:p>
      <w:pPr>
        <w:spacing w:line="360" w:lineRule="auto"/>
      </w:pPr>
    </w:p>
    <w:p>
      <w:pPr>
        <w:spacing w:line="360" w:lineRule="auto"/>
      </w:pPr>
    </w:p>
    <w:p>
      <w:pPr>
        <w:spacing w:line="360" w:lineRule="auto"/>
        <w:jc w:val="center"/>
      </w:pPr>
      <w:bookmarkStart w:id="594" w:name="_Toc29479"/>
      <w:r>
        <w:rPr>
          <w:rFonts w:hint="eastAsia"/>
        </w:rPr>
        <w:t>注：本表适用于其他组织</w:t>
      </w:r>
    </w:p>
    <w:p>
      <w:pPr>
        <w:spacing w:line="360" w:lineRule="auto"/>
        <w:jc w:val="center"/>
        <w:rPr>
          <w:b/>
          <w:sz w:val="28"/>
          <w:szCs w:val="28"/>
        </w:rPr>
        <w:sectPr>
          <w:pgSz w:w="11906" w:h="16838"/>
          <w:pgMar w:top="1440" w:right="1230" w:bottom="1440" w:left="1230" w:header="851" w:footer="992" w:gutter="0"/>
          <w:cols w:space="0" w:num="1"/>
          <w:titlePg/>
          <w:docGrid w:type="lines" w:linePitch="314" w:charSpace="0"/>
        </w:sectPr>
      </w:pPr>
    </w:p>
    <w:p>
      <w:pPr>
        <w:spacing w:line="360" w:lineRule="auto"/>
        <w:jc w:val="center"/>
        <w:rPr>
          <w:b/>
          <w:sz w:val="28"/>
          <w:szCs w:val="28"/>
        </w:rPr>
      </w:pPr>
      <w:r>
        <w:rPr>
          <w:rFonts w:hint="eastAsia"/>
          <w:b/>
          <w:sz w:val="28"/>
          <w:szCs w:val="28"/>
        </w:rPr>
        <w:t>自然人资格证明文件</w:t>
      </w:r>
      <w:bookmarkEnd w:id="594"/>
    </w:p>
    <w:p>
      <w:pPr>
        <w:pStyle w:val="77"/>
        <w:adjustRightInd w:val="0"/>
        <w:snapToGrid w:val="0"/>
        <w:rPr>
          <w:rFonts w:ascii="宋体" w:hAnsi="宋体"/>
          <w:szCs w:val="28"/>
        </w:rPr>
      </w:pPr>
      <w:r>
        <w:rPr>
          <w:rFonts w:hint="eastAsia" w:ascii="宋体" w:hAnsi="宋体"/>
          <w:szCs w:val="28"/>
          <w:u w:val="single"/>
        </w:rPr>
        <w:t>（代理机构名称）</w:t>
      </w:r>
      <w:r>
        <w:rPr>
          <w:rFonts w:hint="eastAsia" w:ascii="宋体" w:hAnsi="宋体"/>
          <w:szCs w:val="28"/>
        </w:rPr>
        <w:t>：</w:t>
      </w:r>
    </w:p>
    <w:p>
      <w:pPr>
        <w:pStyle w:val="77"/>
        <w:adjustRightInd w:val="0"/>
        <w:snapToGrid w:val="0"/>
        <w:ind w:left="0" w:firstLine="560" w:firstLineChars="200"/>
        <w:rPr>
          <w:rFonts w:ascii="宋体" w:hAnsi="宋体"/>
          <w:szCs w:val="28"/>
        </w:rPr>
      </w:pPr>
      <w:r>
        <w:rPr>
          <w:rFonts w:hint="eastAsia" w:ascii="宋体" w:hAnsi="宋体"/>
          <w:szCs w:val="28"/>
        </w:rPr>
        <w:t>兹有</w:t>
      </w:r>
      <w:r>
        <w:rPr>
          <w:rFonts w:hint="eastAsia" w:ascii="宋体" w:hAnsi="宋体"/>
          <w:szCs w:val="28"/>
          <w:u w:val="single"/>
        </w:rPr>
        <w:t xml:space="preserve">     </w:t>
      </w:r>
      <w:r>
        <w:rPr>
          <w:rFonts w:hint="eastAsia" w:ascii="宋体" w:hAnsi="宋体"/>
          <w:szCs w:val="28"/>
        </w:rPr>
        <w:t xml:space="preserve">同志为经营者，代表我单位办理一切社会公务事宜，具有法律效力。 </w:t>
      </w:r>
    </w:p>
    <w:p>
      <w:pPr>
        <w:pStyle w:val="77"/>
        <w:adjustRightInd w:val="0"/>
        <w:snapToGrid w:val="0"/>
        <w:ind w:left="1070" w:leftChars="267" w:hanging="509" w:hangingChars="182"/>
        <w:rPr>
          <w:rFonts w:ascii="宋体" w:hAnsi="宋体"/>
          <w:szCs w:val="28"/>
        </w:rPr>
      </w:pPr>
      <w:r>
        <w:rPr>
          <w:rFonts w:hint="eastAsia" w:ascii="宋体" w:hAnsi="宋体"/>
          <w:szCs w:val="28"/>
        </w:rPr>
        <w:t xml:space="preserve">附经营者基本情况： </w:t>
      </w:r>
    </w:p>
    <w:p>
      <w:pPr>
        <w:pStyle w:val="77"/>
        <w:adjustRightInd w:val="0"/>
        <w:snapToGrid w:val="0"/>
        <w:ind w:left="1070" w:leftChars="267" w:hanging="509" w:hangingChars="182"/>
        <w:rPr>
          <w:rFonts w:ascii="宋体" w:hAnsi="宋体"/>
          <w:szCs w:val="28"/>
        </w:rPr>
      </w:pPr>
      <w:r>
        <w:rPr>
          <w:rFonts w:hint="eastAsia" w:ascii="宋体" w:hAnsi="宋体"/>
          <w:szCs w:val="28"/>
        </w:rPr>
        <w:t>姓名：</w:t>
      </w:r>
    </w:p>
    <w:p>
      <w:pPr>
        <w:pStyle w:val="77"/>
        <w:adjustRightInd w:val="0"/>
        <w:snapToGrid w:val="0"/>
        <w:ind w:left="1070" w:leftChars="267" w:hanging="509" w:hangingChars="182"/>
        <w:rPr>
          <w:rFonts w:ascii="宋体" w:hAnsi="宋体"/>
          <w:szCs w:val="28"/>
        </w:rPr>
      </w:pPr>
      <w:r>
        <w:rPr>
          <w:rFonts w:hint="eastAsia" w:ascii="宋体" w:hAnsi="宋体"/>
          <w:szCs w:val="28"/>
        </w:rPr>
        <w:t>身份证号码：</w:t>
      </w:r>
    </w:p>
    <w:p>
      <w:pPr>
        <w:pStyle w:val="77"/>
        <w:adjustRightInd w:val="0"/>
        <w:snapToGrid w:val="0"/>
        <w:ind w:left="1070" w:leftChars="267" w:hanging="509" w:hangingChars="182"/>
        <w:rPr>
          <w:rFonts w:ascii="宋体" w:hAnsi="宋体"/>
          <w:szCs w:val="28"/>
        </w:rPr>
      </w:pPr>
      <w:r>
        <w:rPr>
          <w:rFonts w:hint="eastAsia" w:ascii="宋体" w:hAnsi="宋体"/>
          <w:szCs w:val="28"/>
        </w:rPr>
        <w:t>通讯地址：</w:t>
      </w:r>
    </w:p>
    <w:p>
      <w:pPr>
        <w:pStyle w:val="77"/>
        <w:adjustRightInd w:val="0"/>
        <w:snapToGrid w:val="0"/>
        <w:ind w:left="1070" w:leftChars="267" w:hanging="509" w:hangingChars="182"/>
        <w:rPr>
          <w:rFonts w:ascii="宋体" w:hAnsi="宋体"/>
          <w:szCs w:val="28"/>
        </w:rPr>
      </w:pPr>
      <w:r>
        <w:rPr>
          <w:rFonts w:hint="eastAsia" w:ascii="宋体" w:hAnsi="宋体"/>
          <w:szCs w:val="28"/>
        </w:rPr>
        <w:t>电话号码：     邮政编码：</w:t>
      </w:r>
    </w:p>
    <w:p>
      <w:pPr>
        <w:pStyle w:val="77"/>
        <w:adjustRightInd w:val="0"/>
        <w:snapToGrid w:val="0"/>
        <w:rPr>
          <w:rFonts w:ascii="宋体" w:hAnsi="宋体"/>
          <w:szCs w:val="28"/>
        </w:rPr>
      </w:pPr>
    </w:p>
    <w:tbl>
      <w:tblPr>
        <w:tblStyle w:val="37"/>
        <w:tblW w:w="6804" w:type="dxa"/>
        <w:tblInd w:w="7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trPr>
        <w:tc>
          <w:tcPr>
            <w:tcW w:w="6804" w:type="dxa"/>
            <w:tcBorders>
              <w:top w:val="single" w:color="auto" w:sz="4" w:space="0"/>
              <w:left w:val="single" w:color="auto" w:sz="4" w:space="0"/>
              <w:bottom w:val="single" w:color="auto" w:sz="4" w:space="0"/>
              <w:right w:val="single" w:color="auto" w:sz="4" w:space="0"/>
            </w:tcBorders>
          </w:tcPr>
          <w:p>
            <w:pPr>
              <w:pStyle w:val="77"/>
              <w:adjustRightInd w:val="0"/>
              <w:snapToGrid w:val="0"/>
              <w:jc w:val="center"/>
              <w:rPr>
                <w:rFonts w:ascii="宋体" w:hAnsi="宋体"/>
                <w:szCs w:val="28"/>
              </w:rPr>
            </w:pPr>
          </w:p>
          <w:p>
            <w:pPr>
              <w:pStyle w:val="77"/>
              <w:adjustRightInd w:val="0"/>
              <w:snapToGrid w:val="0"/>
              <w:jc w:val="center"/>
              <w:rPr>
                <w:rFonts w:ascii="宋体" w:hAnsi="宋体"/>
                <w:szCs w:val="28"/>
              </w:rPr>
            </w:pPr>
          </w:p>
          <w:p>
            <w:pPr>
              <w:pStyle w:val="77"/>
              <w:adjustRightInd w:val="0"/>
              <w:snapToGrid w:val="0"/>
              <w:jc w:val="center"/>
              <w:rPr>
                <w:rFonts w:ascii="宋体" w:hAnsi="宋体"/>
                <w:szCs w:val="28"/>
              </w:rPr>
            </w:pPr>
            <w:r>
              <w:rPr>
                <w:rFonts w:hint="eastAsia" w:ascii="宋体" w:hAnsi="宋体"/>
                <w:szCs w:val="28"/>
              </w:rPr>
              <w:t>经营者《居民身份证》正反面扫描件</w:t>
            </w:r>
          </w:p>
        </w:tc>
      </w:tr>
    </w:tbl>
    <w:p>
      <w:pPr>
        <w:pStyle w:val="77"/>
        <w:adjustRightInd w:val="0"/>
        <w:snapToGrid w:val="0"/>
        <w:ind w:left="0" w:firstLine="0"/>
        <w:rPr>
          <w:rFonts w:ascii="宋体" w:hAnsi="宋体"/>
          <w:szCs w:val="28"/>
        </w:rPr>
      </w:pPr>
    </w:p>
    <w:p>
      <w:pPr>
        <w:pStyle w:val="77"/>
        <w:tabs>
          <w:tab w:val="left" w:pos="750"/>
        </w:tabs>
        <w:adjustRightInd w:val="0"/>
        <w:snapToGrid w:val="0"/>
        <w:rPr>
          <w:rFonts w:ascii="宋体" w:hAnsi="宋体"/>
          <w:szCs w:val="28"/>
        </w:rPr>
      </w:pPr>
      <w:r>
        <w:rPr>
          <w:rFonts w:hint="eastAsia" w:ascii="宋体" w:hAnsi="宋体"/>
          <w:szCs w:val="28"/>
        </w:rPr>
        <w:tab/>
      </w:r>
      <w:r>
        <w:rPr>
          <w:rFonts w:hint="eastAsia" w:ascii="宋体" w:hAnsi="宋体"/>
          <w:szCs w:val="28"/>
        </w:rPr>
        <w:t>供应商名称（签章）：</w:t>
      </w:r>
    </w:p>
    <w:p>
      <w:pPr>
        <w:pStyle w:val="77"/>
        <w:tabs>
          <w:tab w:val="left" w:pos="750"/>
        </w:tabs>
        <w:adjustRightInd w:val="0"/>
        <w:snapToGrid w:val="0"/>
        <w:ind w:left="1070" w:leftChars="334" w:hanging="369" w:hangingChars="132"/>
        <w:rPr>
          <w:rFonts w:ascii="宋体" w:hAnsi="宋体"/>
          <w:szCs w:val="28"/>
        </w:rPr>
      </w:pPr>
      <w:r>
        <w:rPr>
          <w:rFonts w:hint="eastAsia" w:ascii="宋体" w:hAnsi="宋体"/>
          <w:szCs w:val="28"/>
        </w:rPr>
        <w:t>经营者（签  章） ：</w:t>
      </w:r>
    </w:p>
    <w:p>
      <w:pPr>
        <w:pStyle w:val="77"/>
        <w:tabs>
          <w:tab w:val="left" w:pos="750"/>
        </w:tabs>
        <w:adjustRightInd w:val="0"/>
        <w:snapToGrid w:val="0"/>
        <w:ind w:left="1070" w:leftChars="334" w:hanging="369" w:hangingChars="132"/>
        <w:rPr>
          <w:rFonts w:ascii="宋体" w:hAnsi="宋体"/>
          <w:szCs w:val="28"/>
        </w:rPr>
      </w:pPr>
      <w:r>
        <w:rPr>
          <w:rFonts w:hint="eastAsia" w:ascii="宋体" w:hAnsi="宋体"/>
          <w:szCs w:val="28"/>
        </w:rPr>
        <w:t>日期：年月日</w:t>
      </w:r>
    </w:p>
    <w:p>
      <w:pPr>
        <w:spacing w:line="360" w:lineRule="auto"/>
      </w:pPr>
    </w:p>
    <w:p>
      <w:pPr>
        <w:spacing w:line="360" w:lineRule="auto"/>
      </w:pPr>
    </w:p>
    <w:p>
      <w:pPr>
        <w:spacing w:line="360" w:lineRule="auto"/>
        <w:jc w:val="center"/>
      </w:pPr>
      <w:bookmarkStart w:id="595" w:name="_Toc21101"/>
      <w:r>
        <w:rPr>
          <w:rFonts w:hint="eastAsia"/>
        </w:rPr>
        <w:t>注：本表适用于自然人</w:t>
      </w:r>
      <w:bookmarkEnd w:id="595"/>
    </w:p>
    <w:p>
      <w:pPr>
        <w:spacing w:line="360" w:lineRule="auto"/>
        <w:jc w:val="center"/>
        <w:rPr>
          <w:b/>
          <w:sz w:val="28"/>
          <w:szCs w:val="28"/>
        </w:rPr>
        <w:sectPr>
          <w:pgSz w:w="11906" w:h="16838"/>
          <w:pgMar w:top="1440" w:right="1230" w:bottom="1440" w:left="1230" w:header="851" w:footer="992" w:gutter="0"/>
          <w:cols w:space="0" w:num="1"/>
          <w:titlePg/>
          <w:docGrid w:type="lines" w:linePitch="314" w:charSpace="0"/>
        </w:sectPr>
      </w:pPr>
      <w:bookmarkStart w:id="596" w:name="_Toc24556"/>
    </w:p>
    <w:p>
      <w:pPr>
        <w:spacing w:line="360" w:lineRule="auto"/>
        <w:jc w:val="center"/>
        <w:rPr>
          <w:b/>
          <w:sz w:val="28"/>
          <w:szCs w:val="28"/>
        </w:rPr>
      </w:pPr>
      <w:r>
        <w:rPr>
          <w:rFonts w:hint="eastAsia"/>
          <w:b/>
          <w:sz w:val="28"/>
          <w:szCs w:val="28"/>
        </w:rPr>
        <w:t>委托授权书</w:t>
      </w:r>
      <w:bookmarkEnd w:id="596"/>
    </w:p>
    <w:p>
      <w:pPr>
        <w:pStyle w:val="77"/>
        <w:rPr>
          <w:rFonts w:ascii="宋体" w:hAnsi="宋体"/>
          <w:szCs w:val="28"/>
        </w:rPr>
      </w:pPr>
      <w:r>
        <w:rPr>
          <w:rFonts w:hint="eastAsia" w:ascii="宋体" w:hAnsi="宋体"/>
          <w:szCs w:val="28"/>
          <w:u w:val="single"/>
        </w:rPr>
        <w:t>（代理机构名称）</w:t>
      </w:r>
      <w:r>
        <w:rPr>
          <w:rFonts w:hint="eastAsia" w:ascii="宋体" w:hAnsi="宋体"/>
          <w:szCs w:val="28"/>
        </w:rPr>
        <w:t>：</w:t>
      </w:r>
    </w:p>
    <w:p>
      <w:pPr>
        <w:pStyle w:val="77"/>
        <w:ind w:left="0" w:firstLine="560" w:firstLineChars="200"/>
        <w:rPr>
          <w:rFonts w:ascii="宋体" w:hAnsi="宋体"/>
          <w:szCs w:val="28"/>
        </w:rPr>
      </w:pPr>
      <w:r>
        <w:rPr>
          <w:rFonts w:hint="eastAsia" w:ascii="宋体" w:hAnsi="宋体"/>
          <w:szCs w:val="28"/>
        </w:rPr>
        <w:t>兹授权</w:t>
      </w:r>
      <w:r>
        <w:rPr>
          <w:rFonts w:hint="eastAsia" w:ascii="宋体" w:hAnsi="宋体"/>
          <w:szCs w:val="28"/>
          <w:u w:val="single"/>
        </w:rPr>
        <w:t xml:space="preserve">    </w:t>
      </w:r>
      <w:r>
        <w:rPr>
          <w:rFonts w:hint="eastAsia" w:ascii="宋体" w:hAnsi="宋体"/>
          <w:szCs w:val="28"/>
        </w:rPr>
        <w:t>同志为我单位参加贵单位组织的编号为</w:t>
      </w:r>
      <w:r>
        <w:rPr>
          <w:rFonts w:hint="eastAsia" w:ascii="宋体" w:hAnsi="宋体"/>
          <w:szCs w:val="28"/>
          <w:u w:val="single"/>
        </w:rPr>
        <w:t>（项目编号）</w:t>
      </w:r>
      <w:r>
        <w:rPr>
          <w:rFonts w:hint="eastAsia" w:ascii="宋体" w:hAnsi="宋体"/>
          <w:szCs w:val="28"/>
        </w:rPr>
        <w:t>的</w:t>
      </w:r>
      <w:r>
        <w:rPr>
          <w:rFonts w:hint="eastAsia" w:ascii="宋体" w:hAnsi="宋体"/>
          <w:szCs w:val="28"/>
          <w:u w:val="single"/>
        </w:rPr>
        <w:t>（项 目 名 称）</w:t>
      </w:r>
      <w:r>
        <w:rPr>
          <w:rFonts w:hint="eastAsia" w:ascii="宋体" w:hAnsi="宋体"/>
          <w:szCs w:val="28"/>
        </w:rPr>
        <w:t xml:space="preserve">采购活动的代表人，全权代表我单位处理在该项目采购活动中的一切事宜。代理期限从年月日起至年月日止。 </w:t>
      </w:r>
    </w:p>
    <w:p>
      <w:pPr>
        <w:pStyle w:val="77"/>
        <w:rPr>
          <w:rFonts w:ascii="宋体" w:hAnsi="宋体"/>
          <w:szCs w:val="28"/>
        </w:rPr>
      </w:pPr>
      <w:r>
        <w:rPr>
          <w:rFonts w:hint="eastAsia" w:ascii="宋体" w:hAnsi="宋体"/>
          <w:szCs w:val="28"/>
        </w:rPr>
        <w:t>供应商名称（签章）：</w:t>
      </w:r>
    </w:p>
    <w:p>
      <w:pPr>
        <w:pStyle w:val="77"/>
        <w:rPr>
          <w:rFonts w:ascii="宋体" w:hAnsi="宋体"/>
          <w:szCs w:val="28"/>
        </w:rPr>
      </w:pPr>
      <w:r>
        <w:rPr>
          <w:rFonts w:hint="eastAsia" w:ascii="宋体" w:hAnsi="宋体"/>
          <w:szCs w:val="28"/>
        </w:rPr>
        <w:t>签发日期：  年  月  日</w:t>
      </w:r>
    </w:p>
    <w:p>
      <w:pPr>
        <w:pStyle w:val="77"/>
        <w:rPr>
          <w:rFonts w:ascii="宋体" w:hAnsi="宋体"/>
          <w:szCs w:val="28"/>
        </w:rPr>
      </w:pPr>
      <w:r>
        <w:rPr>
          <w:rFonts w:hint="eastAsia" w:ascii="宋体" w:hAnsi="宋体"/>
          <w:szCs w:val="28"/>
        </w:rPr>
        <w:t>附：</w:t>
      </w:r>
    </w:p>
    <w:p>
      <w:pPr>
        <w:pStyle w:val="77"/>
        <w:rPr>
          <w:rFonts w:ascii="宋体" w:hAnsi="宋体"/>
          <w:szCs w:val="28"/>
        </w:rPr>
      </w:pPr>
      <w:r>
        <w:rPr>
          <w:rFonts w:hint="eastAsia" w:ascii="宋体" w:hAnsi="宋体"/>
          <w:szCs w:val="28"/>
        </w:rPr>
        <w:t>代理人工作单位：</w:t>
      </w:r>
    </w:p>
    <w:p>
      <w:pPr>
        <w:pStyle w:val="77"/>
        <w:rPr>
          <w:rFonts w:ascii="宋体" w:hAnsi="宋体"/>
          <w:szCs w:val="28"/>
          <w:u w:val="single"/>
        </w:rPr>
      </w:pPr>
      <w:r>
        <w:rPr>
          <w:rFonts w:hint="eastAsia" w:ascii="宋体" w:hAnsi="宋体"/>
          <w:szCs w:val="28"/>
        </w:rPr>
        <w:t>联系电话（手机）：</w:t>
      </w:r>
    </w:p>
    <w:p>
      <w:pPr>
        <w:pStyle w:val="77"/>
        <w:adjustRightInd w:val="0"/>
        <w:snapToGrid w:val="0"/>
        <w:rPr>
          <w:rFonts w:ascii="宋体" w:hAnsi="宋体"/>
          <w:szCs w:val="28"/>
          <w:u w:val="single"/>
        </w:rPr>
      </w:pPr>
      <w:r>
        <w:rPr>
          <w:rFonts w:hint="eastAsia" w:ascii="宋体" w:hAnsi="宋体"/>
          <w:szCs w:val="28"/>
        </w:rPr>
        <w:t>身份证号码：</w:t>
      </w:r>
    </w:p>
    <w:p>
      <w:pPr>
        <w:pStyle w:val="77"/>
        <w:adjustRightInd w:val="0"/>
        <w:snapToGrid w:val="0"/>
        <w:ind w:left="-88" w:leftChars="-42" w:firstLine="700" w:firstLineChars="250"/>
        <w:rPr>
          <w:rFonts w:ascii="宋体" w:hAnsi="宋体"/>
          <w:szCs w:val="28"/>
          <w:u w:val="single"/>
        </w:rPr>
      </w:pPr>
    </w:p>
    <w:tbl>
      <w:tblPr>
        <w:tblStyle w:val="37"/>
        <w:tblW w:w="7663"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2" w:hRule="atLeast"/>
        </w:trPr>
        <w:tc>
          <w:tcPr>
            <w:tcW w:w="7663" w:type="dxa"/>
            <w:tcBorders>
              <w:top w:val="single" w:color="auto" w:sz="4" w:space="0"/>
              <w:left w:val="single" w:color="auto" w:sz="4" w:space="0"/>
              <w:bottom w:val="single" w:color="auto" w:sz="4" w:space="0"/>
              <w:right w:val="single" w:color="auto" w:sz="4" w:space="0"/>
            </w:tcBorders>
          </w:tcPr>
          <w:p>
            <w:pPr>
              <w:pStyle w:val="77"/>
              <w:rPr>
                <w:rFonts w:ascii="宋体" w:hAnsi="宋体"/>
                <w:szCs w:val="28"/>
              </w:rPr>
            </w:pPr>
            <w:r>
              <w:rPr>
                <w:rFonts w:hint="eastAsia" w:ascii="宋体" w:hAnsi="宋体"/>
                <w:szCs w:val="28"/>
              </w:rPr>
              <w:t>粘贴被授权人身份证（正反面扫描件）</w:t>
            </w:r>
          </w:p>
        </w:tc>
      </w:tr>
    </w:tbl>
    <w:p>
      <w:pPr>
        <w:pStyle w:val="77"/>
        <w:autoSpaceDE w:val="0"/>
        <w:autoSpaceDN w:val="0"/>
        <w:ind w:left="0" w:firstLine="0"/>
        <w:rPr>
          <w:rFonts w:ascii="宋体" w:hAnsi="宋体"/>
          <w:szCs w:val="28"/>
        </w:rPr>
      </w:pPr>
    </w:p>
    <w:p>
      <w:pPr>
        <w:pStyle w:val="77"/>
        <w:jc w:val="center"/>
        <w:rPr>
          <w:rFonts w:ascii="宋体" w:hAnsi="宋体"/>
          <w:szCs w:val="28"/>
        </w:rPr>
      </w:pPr>
      <w:r>
        <w:rPr>
          <w:rFonts w:hint="eastAsia" w:ascii="宋体" w:hAnsi="宋体"/>
          <w:szCs w:val="28"/>
        </w:rPr>
        <w:t>注：本表适用于法人、其他组织、自然人</w:t>
      </w:r>
    </w:p>
    <w:p>
      <w:pPr>
        <w:spacing w:line="360" w:lineRule="auto"/>
        <w:jc w:val="center"/>
        <w:rPr>
          <w:b/>
          <w:sz w:val="28"/>
          <w:szCs w:val="28"/>
        </w:rPr>
        <w:sectPr>
          <w:pgSz w:w="11906" w:h="16838"/>
          <w:pgMar w:top="1440" w:right="1230" w:bottom="1440" w:left="1230" w:header="851" w:footer="992" w:gutter="0"/>
          <w:cols w:space="0" w:num="1"/>
          <w:titlePg/>
          <w:docGrid w:type="lines" w:linePitch="314" w:charSpace="0"/>
        </w:sectPr>
      </w:pPr>
    </w:p>
    <w:p>
      <w:pPr>
        <w:spacing w:line="360" w:lineRule="auto"/>
        <w:jc w:val="center"/>
        <w:rPr>
          <w:b/>
          <w:sz w:val="28"/>
          <w:szCs w:val="28"/>
        </w:rPr>
      </w:pPr>
      <w:r>
        <w:rPr>
          <w:rFonts w:hint="eastAsia"/>
          <w:b/>
          <w:sz w:val="28"/>
          <w:szCs w:val="28"/>
        </w:rPr>
        <w:t>谈判供应商的资格声明</w:t>
      </w:r>
    </w:p>
    <w:p>
      <w:pPr>
        <w:pStyle w:val="77"/>
        <w:spacing w:before="0" w:after="0"/>
        <w:ind w:left="0" w:firstLine="223" w:firstLineChars="93"/>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1、名称及基本情况：</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（1）谈判供应商名称：</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（2）地址：   邮编：</w:t>
      </w:r>
    </w:p>
    <w:p>
      <w:pPr>
        <w:pStyle w:val="77"/>
        <w:spacing w:before="0" w:after="0"/>
        <w:ind w:left="0" w:firstLine="840" w:firstLineChars="350"/>
        <w:jc w:val="left"/>
        <w:rPr>
          <w:rFonts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电话：   传真：</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（3）成立或注册日期：</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（4）公司性质：</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（5）法定代表人或主要负责人：</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（6）员工人数：</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（7）注册资本：</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（8）实收资本：</w:t>
      </w:r>
    </w:p>
    <w:p>
      <w:pPr>
        <w:pStyle w:val="77"/>
        <w:spacing w:before="0" w:after="0"/>
        <w:ind w:left="0" w:firstLine="240" w:firstLine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（9）上年末资产负债表：</w:t>
      </w:r>
    </w:p>
    <w:p>
      <w:pPr>
        <w:pStyle w:val="77"/>
        <w:spacing w:before="0" w:after="0"/>
        <w:ind w:left="0" w:firstLine="840" w:firstLineChars="3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1）固定资产</w:t>
      </w:r>
    </w:p>
    <w:p>
      <w:pPr>
        <w:pStyle w:val="77"/>
        <w:spacing w:before="0" w:after="0"/>
        <w:ind w:left="0" w:firstLine="463" w:firstLineChars="193"/>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原   值：    净   值： </w:t>
      </w:r>
    </w:p>
    <w:p>
      <w:pPr>
        <w:pStyle w:val="77"/>
        <w:spacing w:before="0" w:after="0"/>
        <w:ind w:left="0" w:firstLine="840" w:firstLineChars="3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2）流动资金：</w:t>
      </w:r>
    </w:p>
    <w:p>
      <w:pPr>
        <w:pStyle w:val="77"/>
        <w:spacing w:before="0" w:after="0"/>
        <w:ind w:left="0" w:firstLine="840" w:firstLineChars="3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3）长期负债：</w:t>
      </w:r>
    </w:p>
    <w:p>
      <w:pPr>
        <w:pStyle w:val="77"/>
        <w:spacing w:before="0" w:after="0"/>
        <w:ind w:left="0" w:firstLine="840" w:firstLineChars="3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4）短期负债：</w:t>
      </w:r>
    </w:p>
    <w:p>
      <w:pPr>
        <w:pStyle w:val="77"/>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2、与谈判供应商所提供货物的生产、销售和服务有关的情况： </w:t>
      </w:r>
    </w:p>
    <w:p>
      <w:pPr>
        <w:pStyle w:val="77"/>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（1）关于制造谈判供应商所提供货物的设施及其它情况：</w:t>
      </w:r>
    </w:p>
    <w:tbl>
      <w:tblPr>
        <w:tblStyle w:val="37"/>
        <w:tblW w:w="9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1"/>
        <w:gridCol w:w="2489"/>
        <w:gridCol w:w="2487"/>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361"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生产基地地址</w:t>
            </w:r>
          </w:p>
        </w:tc>
        <w:tc>
          <w:tcPr>
            <w:tcW w:w="2489"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生产的项目</w:t>
            </w:r>
          </w:p>
        </w:tc>
        <w:tc>
          <w:tcPr>
            <w:tcW w:w="2487"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年生产能力</w:t>
            </w:r>
          </w:p>
        </w:tc>
        <w:tc>
          <w:tcPr>
            <w:tcW w:w="2325"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员工人数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2361"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489"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487"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325"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2361"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489"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487"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325"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2361"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489"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487"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325"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r>
    </w:tbl>
    <w:p>
      <w:pPr>
        <w:pStyle w:val="77"/>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（2）谈判供应商销售此货物的经验（包括年限、项目业主、额定能力、商业运营的起始日期等）：</w:t>
      </w:r>
    </w:p>
    <w:p>
      <w:pPr>
        <w:pStyle w:val="77"/>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（3）销售、服务网点分布（可另行附表）：</w:t>
      </w:r>
    </w:p>
    <w:tbl>
      <w:tblPr>
        <w:tblStyle w:val="37"/>
        <w:tblW w:w="97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2242"/>
        <w:gridCol w:w="1834"/>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4"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销售服务网点名称和地址</w:t>
            </w:r>
          </w:p>
        </w:tc>
        <w:tc>
          <w:tcPr>
            <w:tcW w:w="2242"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主要服务范围</w:t>
            </w:r>
          </w:p>
        </w:tc>
        <w:tc>
          <w:tcPr>
            <w:tcW w:w="1834"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服务人员数</w:t>
            </w:r>
          </w:p>
        </w:tc>
        <w:tc>
          <w:tcPr>
            <w:tcW w:w="1836"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3794"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242"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1834"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1836"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3794"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242"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1834"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1836"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3794"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2242"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1834"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c>
          <w:tcPr>
            <w:tcW w:w="1836" w:type="dxa"/>
            <w:vAlign w:val="center"/>
          </w:tcPr>
          <w:p>
            <w:pPr>
              <w:pStyle w:val="77"/>
              <w:adjustRightInd w:val="0"/>
              <w:snapToGrid w:val="0"/>
              <w:spacing w:before="100" w:beforeAutospacing="1" w:after="100" w:afterAutospacing="1"/>
              <w:jc w:val="center"/>
              <w:rPr>
                <w:rFonts w:asciiTheme="minorEastAsia" w:hAnsiTheme="minorEastAsia" w:eastAsiaTheme="minorEastAsia" w:cstheme="minorEastAsia"/>
                <w:sz w:val="24"/>
                <w:szCs w:val="24"/>
              </w:rPr>
            </w:pPr>
          </w:p>
        </w:tc>
      </w:tr>
    </w:tbl>
    <w:p>
      <w:pPr>
        <w:pStyle w:val="77"/>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3、谈判供应商认为需要声明的其它情况：                         </w:t>
      </w:r>
    </w:p>
    <w:p>
      <w:pPr>
        <w:pStyle w:val="77"/>
        <w:rPr>
          <w:rFonts w:asciiTheme="minorEastAsia" w:hAnsiTheme="minorEastAsia" w:eastAsiaTheme="minorEastAsia" w:cstheme="minorEastAsia"/>
          <w:sz w:val="24"/>
          <w:szCs w:val="24"/>
        </w:rPr>
      </w:pPr>
    </w:p>
    <w:p>
      <w:pPr>
        <w:pStyle w:val="77"/>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兹证明上述声明是真实的、正确的，并提供了全部能提供的资料和数据，我们同意遵照政府采购中心要求出示有关证明文件。</w:t>
      </w:r>
    </w:p>
    <w:p>
      <w:pPr>
        <w:pStyle w:val="77"/>
        <w:rPr>
          <w:rFonts w:asciiTheme="minorEastAsia" w:hAnsiTheme="minorEastAsia" w:eastAsiaTheme="minorEastAsia" w:cstheme="minorEastAsia"/>
          <w:sz w:val="24"/>
          <w:szCs w:val="24"/>
        </w:rPr>
      </w:pPr>
    </w:p>
    <w:p>
      <w:pPr>
        <w:pStyle w:val="77"/>
        <w:rPr>
          <w:rFonts w:asciiTheme="minorEastAsia" w:hAnsiTheme="minorEastAsia" w:eastAsiaTheme="minorEastAsia" w:cstheme="minorEastAsia"/>
          <w:sz w:val="24"/>
          <w:szCs w:val="24"/>
        </w:rPr>
      </w:pPr>
    </w:p>
    <w:p>
      <w:pPr>
        <w:pStyle w:val="77"/>
        <w:rPr>
          <w:rFonts w:asciiTheme="minorEastAsia" w:hAnsiTheme="minorEastAsia" w:eastAsiaTheme="minorEastAsia" w:cstheme="minorEastAsia"/>
          <w:sz w:val="24"/>
          <w:szCs w:val="24"/>
        </w:rPr>
      </w:pPr>
    </w:p>
    <w:p>
      <w:pPr>
        <w:pStyle w:val="77"/>
        <w:rPr>
          <w:rFonts w:asciiTheme="minorEastAsia" w:hAnsiTheme="minorEastAsia" w:eastAsiaTheme="minorEastAsia" w:cstheme="minorEastAsia"/>
          <w:sz w:val="24"/>
          <w:szCs w:val="24"/>
        </w:rPr>
      </w:pPr>
    </w:p>
    <w:p>
      <w:pPr>
        <w:pStyle w:val="77"/>
        <w:rPr>
          <w:rFonts w:asciiTheme="minorEastAsia" w:hAnsiTheme="minorEastAsia" w:eastAsiaTheme="minorEastAsia" w:cstheme="minorEastAsia"/>
          <w:sz w:val="24"/>
          <w:szCs w:val="24"/>
        </w:rPr>
      </w:pPr>
    </w:p>
    <w:p>
      <w:pPr>
        <w:pStyle w:val="77"/>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谈判供应商名称：</w:t>
      </w:r>
      <w:r>
        <w:rPr>
          <w:rFonts w:hint="eastAsia" w:asciiTheme="minorEastAsia" w:hAnsiTheme="minorEastAsia" w:eastAsiaTheme="minorEastAsia" w:cstheme="minorEastAsia"/>
          <w:sz w:val="24"/>
          <w:szCs w:val="24"/>
          <w:u w:val="single"/>
        </w:rPr>
        <w:t xml:space="preserve">       （签章）       </w:t>
      </w:r>
    </w:p>
    <w:p>
      <w:pPr>
        <w:pStyle w:val="77"/>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法定代表人签章：</w:t>
      </w:r>
      <w:r>
        <w:rPr>
          <w:rFonts w:hint="eastAsia" w:asciiTheme="minorEastAsia" w:hAnsiTheme="minorEastAsia" w:eastAsiaTheme="minorEastAsia" w:cstheme="minorEastAsia"/>
          <w:sz w:val="24"/>
          <w:szCs w:val="24"/>
          <w:u w:val="single"/>
        </w:rPr>
        <w:t xml:space="preserve">       （签章）       </w:t>
      </w:r>
    </w:p>
    <w:p>
      <w:pPr>
        <w:pStyle w:val="77"/>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      话：</w:t>
      </w:r>
    </w:p>
    <w:p>
      <w:pPr>
        <w:pStyle w:val="77"/>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      真：</w:t>
      </w:r>
    </w:p>
    <w:p>
      <w:pPr>
        <w:pStyle w:val="77"/>
        <w:autoSpaceDE w:val="0"/>
        <w:autoSpaceDN w:val="0"/>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期：年月日</w:t>
      </w:r>
    </w:p>
    <w:p>
      <w:pPr>
        <w:pStyle w:val="77"/>
        <w:autoSpaceDE w:val="0"/>
        <w:autoSpaceDN w:val="0"/>
        <w:ind w:firstLine="480"/>
        <w:rPr>
          <w:rFonts w:ascii="宋体" w:hAnsi="宋体"/>
          <w:szCs w:val="28"/>
        </w:rPr>
      </w:pPr>
    </w:p>
    <w:p>
      <w:pPr>
        <w:pStyle w:val="77"/>
        <w:autoSpaceDE w:val="0"/>
        <w:autoSpaceDN w:val="0"/>
        <w:ind w:firstLine="560" w:firstLineChars="200"/>
        <w:rPr>
          <w:rFonts w:ascii="宋体" w:hAnsi="宋体"/>
          <w:sz w:val="24"/>
          <w:szCs w:val="24"/>
        </w:rPr>
      </w:pPr>
      <w:r>
        <w:br w:type="page"/>
      </w:r>
    </w:p>
    <w:p>
      <w:pPr>
        <w:spacing w:line="360" w:lineRule="auto"/>
        <w:jc w:val="center"/>
        <w:rPr>
          <w:b/>
          <w:sz w:val="28"/>
          <w:szCs w:val="28"/>
        </w:rPr>
      </w:pPr>
      <w:r>
        <w:rPr>
          <w:rFonts w:hint="eastAsia"/>
          <w:b/>
          <w:sz w:val="28"/>
          <w:szCs w:val="28"/>
        </w:rPr>
        <w:t>项目负责人简历表、承诺书</w:t>
      </w:r>
    </w:p>
    <w:p>
      <w:pPr>
        <w:spacing w:line="360" w:lineRule="auto"/>
      </w:pPr>
      <w:r>
        <w:rPr>
          <w:rFonts w:hint="eastAsia"/>
        </w:rPr>
        <w:t>项目负责人简历表</w:t>
      </w:r>
    </w:p>
    <w:tbl>
      <w:tblPr>
        <w:tblStyle w:val="37"/>
        <w:tblW w:w="882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1035"/>
        <w:gridCol w:w="1135"/>
        <w:gridCol w:w="1275"/>
        <w:gridCol w:w="2124"/>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姓  名</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年  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学历</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职  称</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职  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拟在本工程任职</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6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注册建造师执业资格等级</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级</w:t>
            </w: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建造师专业</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6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安全生产考核合格证书</w:t>
            </w:r>
          </w:p>
        </w:tc>
        <w:tc>
          <w:tcPr>
            <w:tcW w:w="555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毕业学校</w:t>
            </w:r>
          </w:p>
        </w:tc>
        <w:tc>
          <w:tcPr>
            <w:tcW w:w="772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2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时  间</w:t>
            </w: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参加过的类似项目名称</w:t>
            </w: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工程概况说明</w:t>
            </w: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34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21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bl>
    <w:p>
      <w:pPr>
        <w:spacing w:line="360" w:lineRule="auto"/>
        <w:sectPr>
          <w:pgSz w:w="11906" w:h="16838"/>
          <w:pgMar w:top="1440" w:right="1230" w:bottom="1440" w:left="1230" w:header="851" w:footer="992" w:gutter="0"/>
          <w:cols w:space="0" w:num="1"/>
          <w:titlePg/>
          <w:docGrid w:type="lines" w:linePitch="314" w:charSpace="0"/>
        </w:sectPr>
      </w:pPr>
      <w:r>
        <w:rPr>
          <w:rFonts w:hint="eastAsia" w:ascii="Times New Roman" w:hAnsi="Times New Roman" w:eastAsia="宋体" w:cs="宋体"/>
          <w:szCs w:val="24"/>
        </w:rPr>
        <w:t>备注（如有）：项目经理应附建造师资格证书、注册证书</w:t>
      </w:r>
      <w:r>
        <w:rPr>
          <w:rFonts w:ascii="Times New Roman" w:hAnsi="Times New Roman" w:eastAsia="宋体" w:cs="Times New Roman"/>
          <w:szCs w:val="24"/>
        </w:rPr>
        <w:t>(</w:t>
      </w:r>
      <w:r>
        <w:rPr>
          <w:rFonts w:hint="eastAsia" w:ascii="Times New Roman" w:hAnsi="Times New Roman" w:eastAsia="宋体" w:cs="宋体"/>
          <w:szCs w:val="24"/>
        </w:rPr>
        <w:t>临时执业证书</w:t>
      </w:r>
      <w:r>
        <w:rPr>
          <w:rFonts w:ascii="Times New Roman" w:hAnsi="Times New Roman" w:eastAsia="宋体" w:cs="Times New Roman"/>
          <w:szCs w:val="24"/>
        </w:rPr>
        <w:t>)</w:t>
      </w:r>
      <w:r>
        <w:rPr>
          <w:rFonts w:hint="eastAsia" w:ascii="Times New Roman" w:hAnsi="Times New Roman" w:eastAsia="宋体" w:cs="宋体"/>
          <w:szCs w:val="24"/>
        </w:rPr>
        <w:t>、安全生产考核合格证书（</w:t>
      </w:r>
      <w:r>
        <w:rPr>
          <w:rFonts w:ascii="Times New Roman" w:hAnsi="Times New Roman" w:eastAsia="宋体" w:cs="Times New Roman"/>
          <w:szCs w:val="24"/>
        </w:rPr>
        <w:t>B</w:t>
      </w:r>
      <w:r>
        <w:rPr>
          <w:rFonts w:hint="eastAsia" w:ascii="Times New Roman" w:hAnsi="Times New Roman" w:eastAsia="宋体" w:cs="宋体"/>
          <w:szCs w:val="24"/>
        </w:rPr>
        <w:t>证）、身份证、职称证、复印件加盖单位公章。类似项目限于以项目经理身份参与的项目，须附中标通知书（如有）、合同协议书、工程接收证书或工程竣工验收证书（工程竣工验收备案证）及其他证明材料（如需要）的原件彩色扫描件加盖单位公章。其中招标发包的工程应附中标通知书。</w:t>
      </w:r>
    </w:p>
    <w:p>
      <w:pPr>
        <w:spacing w:line="360" w:lineRule="auto"/>
        <w:jc w:val="center"/>
        <w:rPr>
          <w:b/>
          <w:sz w:val="28"/>
          <w:szCs w:val="28"/>
        </w:rPr>
      </w:pPr>
      <w:r>
        <w:rPr>
          <w:rFonts w:hint="eastAsia"/>
          <w:b/>
          <w:sz w:val="28"/>
          <w:szCs w:val="28"/>
        </w:rPr>
        <w:t>其他主要项目管理人员简历表</w:t>
      </w:r>
    </w:p>
    <w:tbl>
      <w:tblPr>
        <w:tblStyle w:val="37"/>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880"/>
        <w:gridCol w:w="180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岗位名称</w:t>
            </w:r>
          </w:p>
        </w:tc>
        <w:tc>
          <w:tcPr>
            <w:tcW w:w="75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姓    名</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年    龄</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性    别</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毕业学校</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学历和专业</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毕业时间</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执业/岗位资格</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专业职称</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执业/岗位</w:t>
            </w:r>
          </w:p>
          <w:p>
            <w:pPr>
              <w:spacing w:line="360" w:lineRule="auto"/>
              <w:rPr>
                <w:rFonts w:ascii="宋体" w:hAnsi="宋体" w:eastAsia="宋体" w:cs="宋体"/>
                <w:sz w:val="24"/>
                <w:szCs w:val="24"/>
              </w:rPr>
            </w:pPr>
            <w:r>
              <w:rPr>
                <w:rFonts w:hint="eastAsia" w:ascii="宋体" w:hAnsi="宋体" w:eastAsia="宋体" w:cs="宋体"/>
                <w:sz w:val="24"/>
                <w:szCs w:val="24"/>
              </w:rPr>
              <w:t>证书编号</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r>
              <w:rPr>
                <w:rFonts w:hint="eastAsia" w:ascii="宋体" w:hAnsi="宋体" w:eastAsia="宋体" w:cs="宋体"/>
                <w:sz w:val="24"/>
                <w:szCs w:val="24"/>
              </w:rPr>
              <w:t>专业工作年限</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3" w:hRule="atLeast"/>
          <w:jc w:val="center"/>
        </w:trPr>
        <w:tc>
          <w:tcPr>
            <w:tcW w:w="13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主</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要</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工</w:t>
            </w:r>
          </w:p>
          <w:p>
            <w:pPr>
              <w:spacing w:line="360" w:lineRule="auto"/>
              <w:rPr>
                <w:rFonts w:ascii="宋体" w:hAnsi="宋体" w:eastAsia="宋体" w:cs="宋体"/>
                <w:sz w:val="24"/>
                <w:szCs w:val="24"/>
              </w:rPr>
            </w:pPr>
            <w:r>
              <w:rPr>
                <w:rFonts w:hint="eastAsia" w:ascii="宋体" w:hAnsi="宋体" w:eastAsia="宋体" w:cs="宋体"/>
                <w:sz w:val="24"/>
                <w:szCs w:val="24"/>
              </w:rPr>
              <w:t xml:space="preserve">   作</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业</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绩</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及</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担</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任</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的</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主</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要</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工</w:t>
            </w:r>
          </w:p>
          <w:p>
            <w:pPr>
              <w:spacing w:line="360" w:lineRule="auto"/>
              <w:ind w:firstLine="376" w:firstLineChars="157"/>
              <w:rPr>
                <w:rFonts w:ascii="宋体" w:hAnsi="宋体" w:eastAsia="宋体" w:cs="宋体"/>
                <w:sz w:val="24"/>
                <w:szCs w:val="24"/>
              </w:rPr>
            </w:pPr>
            <w:r>
              <w:rPr>
                <w:rFonts w:hint="eastAsia" w:ascii="宋体" w:hAnsi="宋体" w:eastAsia="宋体" w:cs="宋体"/>
                <w:sz w:val="24"/>
                <w:szCs w:val="24"/>
              </w:rPr>
              <w:t>作</w:t>
            </w:r>
          </w:p>
        </w:tc>
        <w:tc>
          <w:tcPr>
            <w:tcW w:w="7560" w:type="dxa"/>
            <w:gridSpan w:val="3"/>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sz w:val="24"/>
                <w:szCs w:val="24"/>
              </w:rPr>
            </w:pPr>
          </w:p>
        </w:tc>
      </w:tr>
    </w:tbl>
    <w:p>
      <w:pPr>
        <w:spacing w:line="360" w:lineRule="auto"/>
      </w:pPr>
      <w:r>
        <w:rPr>
          <w:rFonts w:hint="eastAsia" w:ascii="Times New Roman" w:hAnsi="Times New Roman" w:eastAsia="宋体" w:cs="宋体"/>
          <w:szCs w:val="24"/>
        </w:rPr>
        <w:t>备注（如有）：其他主要项目管理人员指项目技术负责人、现场管理人员（如施工员、质量员（质检员）、安全员…）等岗位人员。应附资格证书（如有）、注册证书（临时执业证书）、岗位培训考核合格证书、身份证、职称证、复印件加盖单位公章</w:t>
      </w:r>
      <w:r>
        <w:rPr>
          <w:rFonts w:hint="eastAsia" w:ascii="Times New Roman" w:hAnsi="Times New Roman" w:eastAsia="宋体" w:cs="Times New Roman"/>
          <w:szCs w:val="24"/>
        </w:rPr>
        <w:t>，</w:t>
      </w:r>
      <w:r>
        <w:rPr>
          <w:rFonts w:hint="eastAsia" w:ascii="Times New Roman" w:hAnsi="Times New Roman" w:eastAsia="宋体" w:cs="宋体"/>
          <w:szCs w:val="24"/>
        </w:rPr>
        <w:t>安全员应附有效的安全生产考核合格证书（</w:t>
      </w:r>
      <w:r>
        <w:rPr>
          <w:rFonts w:ascii="Times New Roman" w:hAnsi="Times New Roman" w:eastAsia="宋体" w:cs="Times New Roman"/>
          <w:szCs w:val="24"/>
        </w:rPr>
        <w:t>C</w:t>
      </w:r>
      <w:r>
        <w:rPr>
          <w:rFonts w:hint="eastAsia" w:ascii="Times New Roman" w:hAnsi="Times New Roman" w:eastAsia="宋体" w:cs="宋体"/>
          <w:szCs w:val="24"/>
        </w:rPr>
        <w:t>证）。</w:t>
      </w:r>
    </w:p>
    <w:p>
      <w:pPr>
        <w:spacing w:line="360" w:lineRule="auto"/>
        <w:jc w:val="center"/>
        <w:rPr>
          <w:b/>
          <w:sz w:val="28"/>
          <w:szCs w:val="28"/>
        </w:rPr>
        <w:sectPr>
          <w:pgSz w:w="11906" w:h="16838"/>
          <w:pgMar w:top="1440" w:right="1230" w:bottom="1440" w:left="1230" w:header="851" w:footer="992" w:gutter="0"/>
          <w:cols w:space="0" w:num="1"/>
          <w:titlePg/>
          <w:docGrid w:type="lines" w:linePitch="314" w:charSpace="0"/>
        </w:sectPr>
      </w:pPr>
    </w:p>
    <w:p>
      <w:pPr>
        <w:spacing w:line="360" w:lineRule="auto"/>
        <w:jc w:val="center"/>
        <w:rPr>
          <w:b/>
          <w:sz w:val="28"/>
          <w:szCs w:val="28"/>
        </w:rPr>
      </w:pPr>
      <w:r>
        <w:rPr>
          <w:rFonts w:hint="eastAsia"/>
          <w:b/>
          <w:sz w:val="28"/>
          <w:szCs w:val="28"/>
        </w:rPr>
        <w:t>项目班子成员情况表</w:t>
      </w:r>
    </w:p>
    <w:p>
      <w:pPr>
        <w:pStyle w:val="109"/>
        <w:ind w:firstLine="480"/>
        <w:rPr>
          <w:rFonts w:asciiTheme="minorEastAsia" w:hAnsiTheme="minorEastAsia" w:eastAsiaTheme="minorEastAsia" w:cstheme="minorEastAsia"/>
          <w:sz w:val="24"/>
          <w:szCs w:val="24"/>
        </w:rPr>
      </w:pPr>
    </w:p>
    <w:tbl>
      <w:tblPr>
        <w:tblStyle w:val="37"/>
        <w:tblW w:w="979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55"/>
        <w:gridCol w:w="1134"/>
        <w:gridCol w:w="1140"/>
        <w:gridCol w:w="1736"/>
        <w:gridCol w:w="2443"/>
        <w:gridCol w:w="1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88" w:type="dxa"/>
            <w:tcBorders>
              <w:top w:val="single" w:color="auto" w:sz="4" w:space="0"/>
              <w:left w:val="single" w:color="auto" w:sz="4" w:space="0"/>
              <w:bottom w:val="single" w:color="auto" w:sz="4" w:space="0"/>
              <w:right w:val="single" w:color="auto" w:sz="4" w:space="0"/>
            </w:tcBorders>
            <w:vAlign w:val="center"/>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855"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134"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w:t>
            </w:r>
          </w:p>
        </w:tc>
        <w:tc>
          <w:tcPr>
            <w:tcW w:w="1140" w:type="dxa"/>
            <w:tcBorders>
              <w:top w:val="single" w:color="auto" w:sz="4" w:space="0"/>
              <w:left w:val="single" w:color="auto" w:sz="4" w:space="0"/>
              <w:bottom w:val="single" w:color="auto" w:sz="4" w:space="0"/>
              <w:right w:val="single" w:color="auto" w:sz="4" w:space="0"/>
            </w:tcBorders>
          </w:tcPr>
          <w:p>
            <w:pPr>
              <w:pStyle w:val="77"/>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所在单位</w:t>
            </w:r>
          </w:p>
        </w:tc>
        <w:tc>
          <w:tcPr>
            <w:tcW w:w="1736"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任职时间</w:t>
            </w:r>
          </w:p>
        </w:tc>
        <w:tc>
          <w:tcPr>
            <w:tcW w:w="2443"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在本次采购中承担的工作</w:t>
            </w:r>
          </w:p>
        </w:tc>
        <w:tc>
          <w:tcPr>
            <w:tcW w:w="1494" w:type="dxa"/>
            <w:tcBorders>
              <w:left w:val="single" w:color="auto" w:sz="4" w:space="0"/>
              <w:right w:val="single" w:color="auto" w:sz="4" w:space="0"/>
            </w:tcBorders>
          </w:tcPr>
          <w:p>
            <w:pPr>
              <w:pStyle w:val="77"/>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个人专业资质</w:t>
            </w:r>
          </w:p>
          <w:p>
            <w:pPr>
              <w:pStyle w:val="77"/>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88" w:type="dxa"/>
            <w:tcBorders>
              <w:top w:val="single" w:color="auto" w:sz="4" w:space="0"/>
              <w:left w:val="single" w:color="auto" w:sz="4" w:space="0"/>
              <w:bottom w:val="single" w:color="auto" w:sz="4" w:space="0"/>
              <w:right w:val="single" w:color="auto" w:sz="4" w:space="0"/>
            </w:tcBorders>
            <w:vAlign w:val="center"/>
          </w:tcPr>
          <w:p>
            <w:pPr>
              <w:pStyle w:val="77"/>
              <w:jc w:val="center"/>
              <w:rPr>
                <w:rFonts w:asciiTheme="minorEastAsia" w:hAnsiTheme="minorEastAsia" w:eastAsiaTheme="minorEastAsia" w:cstheme="minorEastAsia"/>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40" w:type="dxa"/>
            <w:tcBorders>
              <w:top w:val="single" w:color="auto" w:sz="4" w:space="0"/>
              <w:left w:val="single" w:color="auto" w:sz="4" w:space="0"/>
              <w:bottom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736"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2443"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494"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88" w:type="dxa"/>
            <w:tcBorders>
              <w:top w:val="single" w:color="auto" w:sz="4" w:space="0"/>
              <w:left w:val="single" w:color="auto" w:sz="4" w:space="0"/>
              <w:bottom w:val="single" w:color="auto" w:sz="4" w:space="0"/>
              <w:right w:val="single" w:color="auto" w:sz="4" w:space="0"/>
            </w:tcBorders>
            <w:vAlign w:val="center"/>
          </w:tcPr>
          <w:p>
            <w:pPr>
              <w:pStyle w:val="77"/>
              <w:jc w:val="center"/>
              <w:rPr>
                <w:rFonts w:asciiTheme="minorEastAsia" w:hAnsiTheme="minorEastAsia" w:eastAsiaTheme="minorEastAsia" w:cstheme="minorEastAsia"/>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40" w:type="dxa"/>
            <w:tcBorders>
              <w:top w:val="single" w:color="auto" w:sz="4" w:space="0"/>
              <w:left w:val="single" w:color="auto" w:sz="4" w:space="0"/>
              <w:bottom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736"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2443"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494"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988" w:type="dxa"/>
            <w:tcBorders>
              <w:top w:val="single" w:color="auto" w:sz="4" w:space="0"/>
              <w:left w:val="single" w:color="auto" w:sz="4" w:space="0"/>
              <w:bottom w:val="single" w:color="auto" w:sz="4" w:space="0"/>
              <w:right w:val="single" w:color="auto" w:sz="4" w:space="0"/>
            </w:tcBorders>
            <w:vAlign w:val="center"/>
          </w:tcPr>
          <w:p>
            <w:pPr>
              <w:pStyle w:val="77"/>
              <w:jc w:val="center"/>
              <w:rPr>
                <w:rFonts w:asciiTheme="minorEastAsia" w:hAnsiTheme="minorEastAsia" w:eastAsiaTheme="minorEastAsia" w:cstheme="minorEastAsia"/>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40" w:type="dxa"/>
            <w:tcBorders>
              <w:top w:val="single" w:color="auto" w:sz="4" w:space="0"/>
              <w:left w:val="single" w:color="auto" w:sz="4" w:space="0"/>
              <w:bottom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736"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2443"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494"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988" w:type="dxa"/>
            <w:tcBorders>
              <w:top w:val="single" w:color="auto" w:sz="4" w:space="0"/>
              <w:left w:val="single" w:color="auto" w:sz="4" w:space="0"/>
              <w:bottom w:val="single" w:color="auto" w:sz="4" w:space="0"/>
              <w:right w:val="single" w:color="auto" w:sz="4" w:space="0"/>
            </w:tcBorders>
            <w:vAlign w:val="center"/>
          </w:tcPr>
          <w:p>
            <w:pPr>
              <w:pStyle w:val="77"/>
              <w:jc w:val="center"/>
              <w:rPr>
                <w:rFonts w:asciiTheme="minorEastAsia" w:hAnsiTheme="minorEastAsia" w:eastAsiaTheme="minorEastAsia" w:cstheme="minorEastAsia"/>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40" w:type="dxa"/>
            <w:tcBorders>
              <w:top w:val="single" w:color="auto" w:sz="4" w:space="0"/>
              <w:left w:val="single" w:color="auto" w:sz="4" w:space="0"/>
              <w:bottom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736"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2443"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494" w:type="dxa"/>
            <w:tcBorders>
              <w:left w:val="single" w:color="auto" w:sz="4" w:space="0"/>
              <w:right w:val="single" w:color="auto" w:sz="4" w:space="0"/>
            </w:tcBorders>
          </w:tcPr>
          <w:p>
            <w:pPr>
              <w:pStyle w:val="77"/>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88" w:type="dxa"/>
            <w:tcBorders>
              <w:top w:val="single" w:color="auto" w:sz="4" w:space="0"/>
              <w:left w:val="single" w:color="auto" w:sz="4" w:space="0"/>
              <w:bottom w:val="single" w:color="auto" w:sz="4" w:space="0"/>
              <w:right w:val="single" w:color="auto" w:sz="4" w:space="0"/>
            </w:tcBorders>
            <w:vAlign w:val="center"/>
          </w:tcPr>
          <w:p>
            <w:pPr>
              <w:pStyle w:val="77"/>
              <w:jc w:val="center"/>
              <w:rPr>
                <w:rFonts w:asciiTheme="minorEastAsia" w:hAnsiTheme="minorEastAsia" w:eastAsiaTheme="minorEastAsia" w:cstheme="minorEastAsia"/>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1140" w:type="dxa"/>
            <w:tcBorders>
              <w:top w:val="single" w:color="auto" w:sz="4" w:space="0"/>
              <w:left w:val="single" w:color="auto" w:sz="4" w:space="0"/>
              <w:bottom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736" w:type="dxa"/>
            <w:tcBorders>
              <w:top w:val="single" w:color="auto" w:sz="4" w:space="0"/>
              <w:left w:val="single" w:color="auto" w:sz="4" w:space="0"/>
              <w:bottom w:val="single" w:color="auto" w:sz="4" w:space="0"/>
              <w:right w:val="single" w:color="auto" w:sz="4" w:space="0"/>
            </w:tcBorders>
            <w:vAlign w:val="center"/>
          </w:tcPr>
          <w:p>
            <w:pPr>
              <w:pStyle w:val="77"/>
              <w:rPr>
                <w:rFonts w:asciiTheme="minorEastAsia" w:hAnsiTheme="minorEastAsia" w:eastAsiaTheme="minorEastAsia" w:cstheme="minorEastAsia"/>
                <w:sz w:val="24"/>
                <w:szCs w:val="24"/>
              </w:rPr>
            </w:pPr>
          </w:p>
        </w:tc>
        <w:tc>
          <w:tcPr>
            <w:tcW w:w="2443" w:type="dxa"/>
            <w:tcBorders>
              <w:left w:val="single" w:color="auto" w:sz="4" w:space="0"/>
              <w:bottom w:val="single" w:color="auto" w:sz="4" w:space="0"/>
              <w:right w:val="single" w:color="auto" w:sz="4" w:space="0"/>
            </w:tcBorders>
          </w:tcPr>
          <w:p>
            <w:pPr>
              <w:pStyle w:val="77"/>
              <w:rPr>
                <w:rFonts w:asciiTheme="minorEastAsia" w:hAnsiTheme="minorEastAsia" w:eastAsiaTheme="minorEastAsia" w:cstheme="minorEastAsia"/>
                <w:sz w:val="24"/>
                <w:szCs w:val="24"/>
              </w:rPr>
            </w:pPr>
          </w:p>
        </w:tc>
        <w:tc>
          <w:tcPr>
            <w:tcW w:w="1494" w:type="dxa"/>
            <w:tcBorders>
              <w:left w:val="single" w:color="auto" w:sz="4" w:space="0"/>
              <w:bottom w:val="single" w:color="auto" w:sz="4" w:space="0"/>
              <w:right w:val="single" w:color="auto" w:sz="4" w:space="0"/>
            </w:tcBorders>
          </w:tcPr>
          <w:p>
            <w:pPr>
              <w:pStyle w:val="77"/>
              <w:rPr>
                <w:rFonts w:asciiTheme="minorEastAsia" w:hAnsiTheme="minorEastAsia" w:eastAsiaTheme="minorEastAsia" w:cstheme="minorEastAsia"/>
                <w:sz w:val="24"/>
                <w:szCs w:val="24"/>
              </w:rPr>
            </w:pPr>
          </w:p>
        </w:tc>
      </w:tr>
    </w:tbl>
    <w:p>
      <w:pPr>
        <w:pStyle w:val="108"/>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说明：必须附相关证明材料的完整清晰复印件加盖单位公章，否则评委在评审时将不予承认。</w:t>
      </w: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pStyle w:val="108"/>
        <w:rPr>
          <w:rFonts w:asciiTheme="minorEastAsia" w:hAnsiTheme="minorEastAsia" w:eastAsiaTheme="minorEastAsia" w:cstheme="minorEastAsia"/>
          <w:sz w:val="24"/>
          <w:szCs w:val="24"/>
        </w:rPr>
      </w:pPr>
    </w:p>
    <w:p>
      <w:pPr>
        <w:spacing w:line="360" w:lineRule="auto"/>
        <w:jc w:val="center"/>
        <w:rPr>
          <w:b/>
          <w:sz w:val="28"/>
          <w:szCs w:val="28"/>
        </w:rPr>
      </w:pPr>
      <w:r>
        <w:rPr>
          <w:rFonts w:hint="eastAsia"/>
          <w:b/>
          <w:sz w:val="28"/>
          <w:szCs w:val="28"/>
        </w:rPr>
        <w:t>类似项目业绩表（如有）</w:t>
      </w:r>
    </w:p>
    <w:p>
      <w:pPr>
        <w:pStyle w:val="109"/>
        <w:ind w:firstLine="560"/>
        <w:rPr>
          <w:rFonts w:ascii="宋体" w:hAnsi="宋体"/>
        </w:rPr>
      </w:pPr>
    </w:p>
    <w:tbl>
      <w:tblPr>
        <w:tblStyle w:val="37"/>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7"/>
        <w:gridCol w:w="6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337" w:type="dxa"/>
            <w:shd w:val="clear" w:color="auto" w:fill="auto"/>
            <w:vAlign w:val="center"/>
          </w:tcPr>
          <w:p>
            <w:pPr>
              <w:pStyle w:val="77"/>
              <w:rPr>
                <w:rFonts w:ascii="宋体" w:hAnsi="宋体"/>
                <w:sz w:val="24"/>
                <w:szCs w:val="24"/>
              </w:rPr>
            </w:pPr>
            <w:r>
              <w:rPr>
                <w:rFonts w:hint="eastAsia" w:ascii="宋体" w:hAnsi="宋体"/>
                <w:sz w:val="24"/>
                <w:szCs w:val="24"/>
              </w:rPr>
              <w:t>项目名称</w:t>
            </w:r>
          </w:p>
        </w:tc>
        <w:tc>
          <w:tcPr>
            <w:tcW w:w="6771" w:type="dxa"/>
            <w:shd w:val="clear" w:color="auto" w:fill="auto"/>
          </w:tcPr>
          <w:p>
            <w:pPr>
              <w:pStyle w:val="77"/>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337" w:type="dxa"/>
            <w:shd w:val="clear" w:color="auto" w:fill="auto"/>
            <w:vAlign w:val="center"/>
          </w:tcPr>
          <w:p>
            <w:pPr>
              <w:pStyle w:val="77"/>
              <w:rPr>
                <w:rFonts w:ascii="宋体" w:hAnsi="宋体"/>
                <w:sz w:val="24"/>
                <w:szCs w:val="24"/>
              </w:rPr>
            </w:pPr>
            <w:r>
              <w:rPr>
                <w:rFonts w:hint="eastAsia" w:ascii="宋体" w:hAnsi="宋体"/>
                <w:sz w:val="24"/>
                <w:szCs w:val="24"/>
              </w:rPr>
              <w:t>项目单位名称</w:t>
            </w:r>
          </w:p>
        </w:tc>
        <w:tc>
          <w:tcPr>
            <w:tcW w:w="6771" w:type="dxa"/>
            <w:shd w:val="clear" w:color="auto" w:fill="auto"/>
          </w:tcPr>
          <w:p>
            <w:pPr>
              <w:pStyle w:val="77"/>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atLeast"/>
          <w:jc w:val="center"/>
        </w:trPr>
        <w:tc>
          <w:tcPr>
            <w:tcW w:w="2337" w:type="dxa"/>
            <w:shd w:val="clear" w:color="auto" w:fill="auto"/>
            <w:vAlign w:val="center"/>
          </w:tcPr>
          <w:p>
            <w:pPr>
              <w:pStyle w:val="77"/>
              <w:jc w:val="left"/>
              <w:rPr>
                <w:rFonts w:ascii="宋体" w:hAnsi="宋体"/>
                <w:sz w:val="24"/>
                <w:szCs w:val="24"/>
              </w:rPr>
            </w:pPr>
            <w:r>
              <w:rPr>
                <w:rFonts w:hint="eastAsia" w:ascii="宋体" w:hAnsi="宋体"/>
                <w:sz w:val="24"/>
                <w:szCs w:val="24"/>
              </w:rPr>
              <w:t>项目单位联系人姓</w:t>
            </w:r>
          </w:p>
          <w:p>
            <w:pPr>
              <w:pStyle w:val="77"/>
              <w:jc w:val="left"/>
              <w:rPr>
                <w:rFonts w:ascii="宋体" w:hAnsi="宋体"/>
                <w:sz w:val="24"/>
                <w:szCs w:val="24"/>
              </w:rPr>
            </w:pPr>
            <w:r>
              <w:rPr>
                <w:rFonts w:hint="eastAsia" w:ascii="宋体" w:hAnsi="宋体"/>
                <w:sz w:val="24"/>
                <w:szCs w:val="24"/>
              </w:rPr>
              <w:t>名及联系方式</w:t>
            </w:r>
          </w:p>
        </w:tc>
        <w:tc>
          <w:tcPr>
            <w:tcW w:w="6771" w:type="dxa"/>
            <w:shd w:val="clear" w:color="auto" w:fill="auto"/>
          </w:tcPr>
          <w:p>
            <w:pPr>
              <w:pStyle w:val="77"/>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337" w:type="dxa"/>
            <w:shd w:val="clear" w:color="auto" w:fill="auto"/>
            <w:vAlign w:val="center"/>
          </w:tcPr>
          <w:p>
            <w:pPr>
              <w:pStyle w:val="77"/>
              <w:rPr>
                <w:rFonts w:ascii="宋体" w:hAnsi="宋体"/>
                <w:sz w:val="24"/>
                <w:szCs w:val="24"/>
              </w:rPr>
            </w:pPr>
            <w:r>
              <w:rPr>
                <w:rFonts w:hint="eastAsia" w:ascii="宋体" w:hAnsi="宋体"/>
                <w:sz w:val="24"/>
                <w:szCs w:val="24"/>
              </w:rPr>
              <w:t>合同金额</w:t>
            </w:r>
          </w:p>
        </w:tc>
        <w:tc>
          <w:tcPr>
            <w:tcW w:w="6771" w:type="dxa"/>
            <w:shd w:val="clear" w:color="auto" w:fill="auto"/>
          </w:tcPr>
          <w:p>
            <w:pPr>
              <w:pStyle w:val="77"/>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337" w:type="dxa"/>
            <w:shd w:val="clear" w:color="auto" w:fill="auto"/>
            <w:vAlign w:val="center"/>
          </w:tcPr>
          <w:p>
            <w:pPr>
              <w:pStyle w:val="77"/>
              <w:rPr>
                <w:rFonts w:ascii="宋体" w:hAnsi="宋体"/>
                <w:sz w:val="24"/>
                <w:szCs w:val="24"/>
              </w:rPr>
            </w:pPr>
            <w:r>
              <w:rPr>
                <w:rFonts w:hint="eastAsia" w:ascii="宋体" w:hAnsi="宋体"/>
                <w:sz w:val="24"/>
                <w:szCs w:val="24"/>
              </w:rPr>
              <w:t>项目负责人姓名</w:t>
            </w:r>
          </w:p>
        </w:tc>
        <w:tc>
          <w:tcPr>
            <w:tcW w:w="6771" w:type="dxa"/>
            <w:shd w:val="clear" w:color="auto" w:fill="auto"/>
          </w:tcPr>
          <w:p>
            <w:pPr>
              <w:pStyle w:val="77"/>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337" w:type="dxa"/>
            <w:shd w:val="clear" w:color="auto" w:fill="auto"/>
            <w:vAlign w:val="center"/>
          </w:tcPr>
          <w:p>
            <w:pPr>
              <w:pStyle w:val="77"/>
              <w:rPr>
                <w:rFonts w:ascii="宋体" w:hAnsi="宋体"/>
                <w:sz w:val="24"/>
                <w:szCs w:val="24"/>
              </w:rPr>
            </w:pPr>
            <w:r>
              <w:rPr>
                <w:rFonts w:hint="eastAsia" w:ascii="宋体" w:hAnsi="宋体"/>
                <w:sz w:val="24"/>
                <w:szCs w:val="24"/>
              </w:rPr>
              <w:t>项目实施时间</w:t>
            </w:r>
          </w:p>
        </w:tc>
        <w:tc>
          <w:tcPr>
            <w:tcW w:w="6771" w:type="dxa"/>
            <w:shd w:val="clear" w:color="auto" w:fill="auto"/>
          </w:tcPr>
          <w:p>
            <w:pPr>
              <w:pStyle w:val="77"/>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2337" w:type="dxa"/>
            <w:shd w:val="clear" w:color="auto" w:fill="auto"/>
            <w:vAlign w:val="center"/>
          </w:tcPr>
          <w:p>
            <w:pPr>
              <w:pStyle w:val="77"/>
              <w:rPr>
                <w:rFonts w:ascii="宋体" w:hAnsi="宋体"/>
                <w:sz w:val="24"/>
                <w:szCs w:val="24"/>
              </w:rPr>
            </w:pPr>
            <w:r>
              <w:rPr>
                <w:rFonts w:hint="eastAsia" w:ascii="宋体" w:hAnsi="宋体"/>
                <w:sz w:val="24"/>
                <w:szCs w:val="24"/>
              </w:rPr>
              <w:t>项目内容说明</w:t>
            </w:r>
          </w:p>
        </w:tc>
        <w:tc>
          <w:tcPr>
            <w:tcW w:w="6771" w:type="dxa"/>
            <w:shd w:val="clear" w:color="auto" w:fill="auto"/>
          </w:tcPr>
          <w:p>
            <w:pPr>
              <w:pStyle w:val="77"/>
              <w:jc w:val="center"/>
              <w:rPr>
                <w:rFonts w:ascii="宋体" w:hAnsi="宋体"/>
                <w:sz w:val="24"/>
                <w:szCs w:val="24"/>
              </w:rPr>
            </w:pPr>
          </w:p>
        </w:tc>
      </w:tr>
    </w:tbl>
    <w:p>
      <w:pPr>
        <w:pStyle w:val="77"/>
        <w:autoSpaceDE w:val="0"/>
        <w:autoSpaceDN w:val="0"/>
        <w:ind w:left="1068" w:leftChars="271" w:hanging="499" w:hangingChars="208"/>
        <w:rPr>
          <w:rFonts w:ascii="宋体" w:hAnsi="宋体"/>
          <w:sz w:val="24"/>
          <w:szCs w:val="24"/>
        </w:rPr>
      </w:pPr>
      <w:r>
        <w:rPr>
          <w:rFonts w:hint="eastAsia" w:ascii="宋体" w:hAnsi="宋体"/>
          <w:sz w:val="24"/>
          <w:szCs w:val="24"/>
        </w:rPr>
        <w:t>说明（如有）：1．每个合同须单独附表，并附上相关证明材料，否则专家在评审时将不予采信；</w:t>
      </w:r>
    </w:p>
    <w:p>
      <w:pPr>
        <w:pStyle w:val="77"/>
        <w:autoSpaceDE w:val="0"/>
        <w:autoSpaceDN w:val="0"/>
        <w:ind w:left="1068" w:leftChars="271" w:hanging="499" w:hangingChars="208"/>
        <w:rPr>
          <w:rFonts w:ascii="宋体" w:hAnsi="宋体"/>
          <w:sz w:val="24"/>
          <w:szCs w:val="24"/>
        </w:rPr>
      </w:pPr>
      <w:r>
        <w:rPr>
          <w:rFonts w:hint="eastAsia" w:ascii="宋体" w:hAnsi="宋体"/>
          <w:sz w:val="24"/>
          <w:szCs w:val="24"/>
        </w:rPr>
        <w:t>2．项目内容请详细说明所承担的具体工作内容。</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jc w:val="center"/>
        <w:rPr>
          <w:b/>
          <w:sz w:val="28"/>
          <w:szCs w:val="28"/>
        </w:rPr>
      </w:pPr>
      <w:r>
        <w:rPr>
          <w:rFonts w:hint="eastAsia"/>
          <w:b/>
          <w:sz w:val="28"/>
          <w:szCs w:val="28"/>
        </w:rPr>
        <w:t>资格和符合性检查对照表</w:t>
      </w:r>
    </w:p>
    <w:tbl>
      <w:tblPr>
        <w:tblStyle w:val="37"/>
        <w:tblW w:w="101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2270"/>
        <w:gridCol w:w="2016"/>
        <w:gridCol w:w="1743"/>
        <w:gridCol w:w="1387"/>
        <w:gridCol w:w="1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序号 序号 </w:t>
            </w:r>
          </w:p>
        </w:tc>
        <w:tc>
          <w:tcPr>
            <w:tcW w:w="2270" w:type="dxa"/>
            <w:vAlign w:val="center"/>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谈判文件资格性检查条款</w:t>
            </w:r>
          </w:p>
        </w:tc>
        <w:tc>
          <w:tcPr>
            <w:tcW w:w="2016" w:type="dxa"/>
            <w:vAlign w:val="center"/>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谈判响应文件</w:t>
            </w:r>
          </w:p>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具体响应</w:t>
            </w:r>
          </w:p>
        </w:tc>
        <w:tc>
          <w:tcPr>
            <w:tcW w:w="1743" w:type="dxa"/>
            <w:vAlign w:val="center"/>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响应/偏离</w:t>
            </w:r>
          </w:p>
        </w:tc>
        <w:tc>
          <w:tcPr>
            <w:tcW w:w="1387" w:type="dxa"/>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p>
        </w:tc>
        <w:tc>
          <w:tcPr>
            <w:tcW w:w="1949" w:type="dxa"/>
            <w:vAlign w:val="center"/>
          </w:tcPr>
          <w:p>
            <w:pPr>
              <w:pStyle w:val="77"/>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响应文件中对应</w:t>
            </w:r>
          </w:p>
          <w:p>
            <w:pPr>
              <w:pStyle w:val="77"/>
              <w:ind w:left="0" w:firstLine="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949"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949"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949"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949"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949"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949"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949" w:type="dxa"/>
            <w:vAlign w:val="center"/>
          </w:tcPr>
          <w:p>
            <w:pPr>
              <w:pStyle w:val="77"/>
              <w:jc w:val="center"/>
              <w:rPr>
                <w:rFonts w:asciiTheme="minorEastAsia" w:hAnsiTheme="minorEastAsia" w:eastAsiaTheme="minorEastAsia" w:cstheme="minorEastAsia"/>
                <w:sz w:val="24"/>
                <w:szCs w:val="24"/>
              </w:rPr>
            </w:pPr>
          </w:p>
        </w:tc>
      </w:tr>
    </w:tbl>
    <w:p>
      <w:pPr>
        <w:pStyle w:val="77"/>
        <w:adjustRightInd w:val="0"/>
        <w:snapToGrid w:val="0"/>
        <w:ind w:left="799" w:leftChars="266" w:hanging="240" w:hangingChars="100"/>
        <w:rPr>
          <w:rFonts w:ascii="宋体" w:hAnsi="宋体" w:cs="Corbel"/>
          <w:sz w:val="24"/>
          <w:szCs w:val="24"/>
        </w:rPr>
      </w:pPr>
      <w:r>
        <w:rPr>
          <w:rFonts w:hint="eastAsia" w:ascii="宋体" w:hAnsi="宋体" w:cs="Corbel"/>
          <w:sz w:val="24"/>
          <w:szCs w:val="24"/>
        </w:rPr>
        <w:t>注：1.谈判供应商须对照谈判文件资格和符合性审查内容及标准“的条款逐项说明是否满足要求，如有偏离,谈判供应商必须详细说明。</w:t>
      </w:r>
    </w:p>
    <w:p>
      <w:pPr>
        <w:pStyle w:val="77"/>
        <w:numPr>
          <w:ilvl w:val="0"/>
          <w:numId w:val="2"/>
        </w:numPr>
        <w:adjustRightInd w:val="0"/>
        <w:snapToGrid w:val="0"/>
        <w:ind w:left="799" w:leftChars="266" w:hanging="240" w:hangingChars="100"/>
        <w:rPr>
          <w:rFonts w:ascii="宋体" w:hAnsi="宋体" w:cs="Corbel"/>
          <w:sz w:val="24"/>
          <w:szCs w:val="24"/>
        </w:rPr>
      </w:pPr>
      <w:r>
        <w:rPr>
          <w:rFonts w:hint="eastAsia" w:ascii="宋体" w:hAnsi="宋体" w:cs="Corbel"/>
          <w:sz w:val="24"/>
          <w:szCs w:val="24"/>
        </w:rPr>
        <w:t>谈判供应商须提供响应资料在响应文件中的具体页码。</w:t>
      </w:r>
    </w:p>
    <w:p>
      <w:pPr>
        <w:pStyle w:val="77"/>
        <w:adjustRightInd w:val="0"/>
        <w:snapToGrid w:val="0"/>
        <w:ind w:left="0" w:firstLine="0"/>
        <w:rPr>
          <w:rFonts w:ascii="宋体" w:hAnsi="宋体" w:cs="Corbel"/>
          <w:sz w:val="24"/>
          <w:szCs w:val="24"/>
        </w:rPr>
      </w:pPr>
    </w:p>
    <w:p>
      <w:pPr>
        <w:pStyle w:val="77"/>
        <w:adjustRightInd w:val="0"/>
        <w:snapToGrid w:val="0"/>
        <w:ind w:left="0" w:firstLine="0"/>
        <w:rPr>
          <w:rFonts w:ascii="宋体" w:hAnsi="宋体" w:cs="Corbel"/>
          <w:sz w:val="24"/>
          <w:szCs w:val="24"/>
        </w:rPr>
      </w:pPr>
    </w:p>
    <w:p>
      <w:pPr>
        <w:pStyle w:val="77"/>
        <w:adjustRightInd w:val="0"/>
        <w:snapToGrid w:val="0"/>
        <w:ind w:left="0" w:firstLine="0"/>
        <w:rPr>
          <w:rFonts w:ascii="宋体" w:hAnsi="宋体" w:cs="Corbel"/>
          <w:sz w:val="24"/>
          <w:szCs w:val="24"/>
        </w:rPr>
      </w:pPr>
    </w:p>
    <w:p>
      <w:pPr>
        <w:pStyle w:val="77"/>
        <w:adjustRightInd w:val="0"/>
        <w:snapToGrid w:val="0"/>
        <w:ind w:left="0" w:firstLine="0"/>
        <w:rPr>
          <w:rFonts w:ascii="宋体" w:hAnsi="宋体" w:cs="Corbel"/>
          <w:sz w:val="24"/>
          <w:szCs w:val="24"/>
        </w:rPr>
      </w:pPr>
    </w:p>
    <w:p>
      <w:pPr>
        <w:pStyle w:val="77"/>
        <w:adjustRightInd w:val="0"/>
        <w:snapToGrid w:val="0"/>
        <w:ind w:left="0" w:firstLine="0"/>
        <w:rPr>
          <w:rFonts w:ascii="宋体" w:hAnsi="宋体" w:cs="Corbel"/>
          <w:sz w:val="24"/>
          <w:szCs w:val="24"/>
        </w:rPr>
      </w:pPr>
    </w:p>
    <w:p>
      <w:pPr>
        <w:pStyle w:val="77"/>
        <w:adjustRightInd w:val="0"/>
        <w:snapToGrid w:val="0"/>
        <w:ind w:left="0" w:firstLine="0"/>
        <w:rPr>
          <w:rFonts w:ascii="宋体" w:hAnsi="宋体" w:cs="Corbel"/>
          <w:sz w:val="24"/>
          <w:szCs w:val="24"/>
        </w:rPr>
      </w:pPr>
    </w:p>
    <w:p>
      <w:pPr>
        <w:pStyle w:val="77"/>
        <w:adjustRightInd w:val="0"/>
        <w:snapToGrid w:val="0"/>
        <w:ind w:left="0" w:firstLine="0"/>
        <w:rPr>
          <w:rFonts w:ascii="宋体" w:hAnsi="宋体" w:cs="Corbel"/>
          <w:sz w:val="24"/>
          <w:szCs w:val="24"/>
        </w:rPr>
      </w:pPr>
    </w:p>
    <w:p>
      <w:pPr>
        <w:pStyle w:val="77"/>
        <w:adjustRightInd w:val="0"/>
        <w:snapToGrid w:val="0"/>
        <w:ind w:left="0" w:firstLine="0"/>
        <w:rPr>
          <w:rFonts w:ascii="宋体" w:hAnsi="宋体" w:cs="Corbel"/>
          <w:sz w:val="24"/>
          <w:szCs w:val="24"/>
        </w:rPr>
      </w:pPr>
    </w:p>
    <w:p>
      <w:pPr>
        <w:pStyle w:val="124"/>
        <w:spacing w:line="454" w:lineRule="exact"/>
        <w:ind w:left="2122" w:firstLine="562" w:firstLineChars="200"/>
        <w:rPr>
          <w:rFonts w:cs="宋体"/>
          <w:b w:val="0"/>
          <w:bCs w:val="0"/>
          <w:sz w:val="28"/>
          <w:szCs w:val="28"/>
        </w:rPr>
      </w:pPr>
      <w:bookmarkStart w:id="597" w:name="_Toc2582"/>
      <w:bookmarkStart w:id="598" w:name="_Toc26466"/>
      <w:r>
        <w:rPr>
          <w:sz w:val="28"/>
          <w:szCs w:val="28"/>
        </w:rPr>
        <w:t>商务条款响应、偏离说明表</w:t>
      </w:r>
      <w:bookmarkEnd w:id="597"/>
      <w:bookmarkEnd w:id="598"/>
      <w:r>
        <w:rPr>
          <w:rFonts w:cs="宋体"/>
          <w:w w:val="99"/>
          <w:sz w:val="28"/>
          <w:szCs w:val="28"/>
        </w:rPr>
        <w:t xml:space="preserve"> </w:t>
      </w:r>
    </w:p>
    <w:p>
      <w:pPr>
        <w:spacing w:before="9"/>
        <w:rPr>
          <w:rFonts w:ascii="宋体" w:hAnsi="宋体" w:eastAsia="宋体" w:cs="宋体"/>
          <w:b/>
          <w:bCs/>
          <w:sz w:val="48"/>
          <w:szCs w:val="48"/>
        </w:rPr>
      </w:pPr>
    </w:p>
    <w:tbl>
      <w:tblPr>
        <w:tblStyle w:val="37"/>
        <w:tblpPr w:leftFromText="180" w:rightFromText="180" w:vertAnchor="text" w:horzAnchor="page" w:tblpX="1223" w:tblpY="813"/>
        <w:tblOverlap w:val="never"/>
        <w:tblW w:w="100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2270"/>
        <w:gridCol w:w="2016"/>
        <w:gridCol w:w="1743"/>
        <w:gridCol w:w="1387"/>
        <w:gridCol w:w="1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序号 序号 </w:t>
            </w:r>
          </w:p>
        </w:tc>
        <w:tc>
          <w:tcPr>
            <w:tcW w:w="2270" w:type="dxa"/>
            <w:vAlign w:val="center"/>
          </w:tcPr>
          <w:p>
            <w:pPr>
              <w:pStyle w:val="77"/>
              <w:ind w:left="1088" w:leftChars="50" w:hanging="983" w:hangingChars="41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谈判文件要求</w:t>
            </w:r>
          </w:p>
        </w:tc>
        <w:tc>
          <w:tcPr>
            <w:tcW w:w="2016" w:type="dxa"/>
            <w:vAlign w:val="center"/>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谈判响应文件</w:t>
            </w:r>
          </w:p>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具体响应</w:t>
            </w:r>
          </w:p>
        </w:tc>
        <w:tc>
          <w:tcPr>
            <w:tcW w:w="1743" w:type="dxa"/>
            <w:vAlign w:val="center"/>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响应/偏离</w:t>
            </w:r>
          </w:p>
        </w:tc>
        <w:tc>
          <w:tcPr>
            <w:tcW w:w="1387" w:type="dxa"/>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p>
        </w:tc>
        <w:tc>
          <w:tcPr>
            <w:tcW w:w="1856" w:type="dxa"/>
            <w:vAlign w:val="center"/>
          </w:tcPr>
          <w:p>
            <w:pPr>
              <w:pStyle w:val="77"/>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响应文件中应</w:t>
            </w:r>
          </w:p>
          <w:p>
            <w:pPr>
              <w:pStyle w:val="77"/>
              <w:ind w:left="0" w:firstLine="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856"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856"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856"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856"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856"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ind w:left="420"/>
              <w:rPr>
                <w:rFonts w:asciiTheme="minorEastAsia" w:hAnsiTheme="minorEastAsia" w:eastAsiaTheme="minorEastAsia" w:cstheme="minorEastAsia"/>
                <w:sz w:val="24"/>
                <w:szCs w:val="24"/>
              </w:rPr>
            </w:pP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856" w:type="dxa"/>
            <w:vAlign w:val="center"/>
          </w:tcPr>
          <w:p>
            <w:pPr>
              <w:pStyle w:val="7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739" w:type="dxa"/>
            <w:vAlign w:val="center"/>
          </w:tcPr>
          <w:p>
            <w:pPr>
              <w:pStyle w:val="77"/>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270" w:type="dxa"/>
            <w:vAlign w:val="center"/>
          </w:tcPr>
          <w:p>
            <w:pPr>
              <w:pStyle w:val="77"/>
              <w:jc w:val="center"/>
              <w:rPr>
                <w:rFonts w:asciiTheme="minorEastAsia" w:hAnsiTheme="minorEastAsia" w:eastAsiaTheme="minorEastAsia" w:cstheme="minorEastAsia"/>
                <w:sz w:val="24"/>
                <w:szCs w:val="24"/>
              </w:rPr>
            </w:pPr>
          </w:p>
        </w:tc>
        <w:tc>
          <w:tcPr>
            <w:tcW w:w="2016" w:type="dxa"/>
            <w:vAlign w:val="center"/>
          </w:tcPr>
          <w:p>
            <w:pPr>
              <w:pStyle w:val="77"/>
              <w:jc w:val="center"/>
              <w:rPr>
                <w:rFonts w:asciiTheme="minorEastAsia" w:hAnsiTheme="minorEastAsia" w:eastAsiaTheme="minorEastAsia" w:cstheme="minorEastAsia"/>
                <w:sz w:val="24"/>
                <w:szCs w:val="24"/>
              </w:rPr>
            </w:pPr>
          </w:p>
        </w:tc>
        <w:tc>
          <w:tcPr>
            <w:tcW w:w="1743" w:type="dxa"/>
            <w:vAlign w:val="center"/>
          </w:tcPr>
          <w:p>
            <w:pPr>
              <w:pStyle w:val="77"/>
              <w:jc w:val="center"/>
              <w:rPr>
                <w:rFonts w:asciiTheme="minorEastAsia" w:hAnsiTheme="minorEastAsia" w:eastAsiaTheme="minorEastAsia" w:cstheme="minorEastAsia"/>
                <w:sz w:val="24"/>
                <w:szCs w:val="24"/>
              </w:rPr>
            </w:pPr>
          </w:p>
        </w:tc>
        <w:tc>
          <w:tcPr>
            <w:tcW w:w="1387" w:type="dxa"/>
          </w:tcPr>
          <w:p>
            <w:pPr>
              <w:pStyle w:val="77"/>
              <w:jc w:val="center"/>
              <w:rPr>
                <w:rFonts w:asciiTheme="minorEastAsia" w:hAnsiTheme="minorEastAsia" w:eastAsiaTheme="minorEastAsia" w:cstheme="minorEastAsia"/>
                <w:sz w:val="24"/>
                <w:szCs w:val="24"/>
              </w:rPr>
            </w:pPr>
          </w:p>
        </w:tc>
        <w:tc>
          <w:tcPr>
            <w:tcW w:w="1856" w:type="dxa"/>
            <w:vAlign w:val="center"/>
          </w:tcPr>
          <w:p>
            <w:pPr>
              <w:pStyle w:val="77"/>
              <w:jc w:val="center"/>
              <w:rPr>
                <w:rFonts w:asciiTheme="minorEastAsia" w:hAnsiTheme="minorEastAsia" w:eastAsiaTheme="minorEastAsia" w:cstheme="minorEastAsia"/>
                <w:sz w:val="24"/>
                <w:szCs w:val="24"/>
              </w:rPr>
            </w:pPr>
          </w:p>
        </w:tc>
      </w:tr>
    </w:tbl>
    <w:p>
      <w:pPr>
        <w:rPr>
          <w:rFonts w:ascii="宋体" w:hAnsi="宋体" w:eastAsia="宋体" w:cs="宋体"/>
          <w:sz w:val="20"/>
          <w:szCs w:val="20"/>
        </w:rPr>
      </w:pPr>
    </w:p>
    <w:p>
      <w:pPr>
        <w:rPr>
          <w:rFonts w:ascii="宋体" w:hAnsi="宋体" w:eastAsia="宋体" w:cs="宋体"/>
          <w:sz w:val="20"/>
          <w:szCs w:val="20"/>
        </w:rPr>
      </w:pPr>
    </w:p>
    <w:p>
      <w:pPr>
        <w:spacing w:before="8"/>
        <w:rPr>
          <w:rFonts w:ascii="宋体" w:hAnsi="宋体" w:eastAsia="宋体" w:cs="宋体"/>
          <w:sz w:val="14"/>
          <w:szCs w:val="14"/>
        </w:rPr>
      </w:pPr>
    </w:p>
    <w:p>
      <w:pPr>
        <w:pStyle w:val="19"/>
        <w:spacing w:before="14" w:line="357" w:lineRule="auto"/>
        <w:ind w:left="951" w:right="206" w:hanging="841"/>
        <w:rPr>
          <w:rFonts w:cs="宋体"/>
        </w:rPr>
      </w:pPr>
      <w:r>
        <w:rPr>
          <w:spacing w:val="-4"/>
          <w:sz w:val="24"/>
          <w:szCs w:val="24"/>
        </w:rPr>
        <w:t>注：</w:t>
      </w:r>
      <w:r>
        <w:rPr>
          <w:rFonts w:cs="宋体"/>
          <w:spacing w:val="-4"/>
          <w:sz w:val="24"/>
          <w:szCs w:val="24"/>
        </w:rPr>
        <w:t>1.</w:t>
      </w:r>
      <w:r>
        <w:rPr>
          <w:spacing w:val="-4"/>
          <w:sz w:val="24"/>
          <w:szCs w:val="24"/>
        </w:rPr>
        <w:t>谈判供应商须对照谈判文件第三章“采购项目技术规格、参数及相关要</w:t>
      </w:r>
      <w:r>
        <w:rPr>
          <w:spacing w:val="-80"/>
          <w:sz w:val="24"/>
          <w:szCs w:val="24"/>
        </w:rPr>
        <w:t xml:space="preserve"> </w:t>
      </w:r>
      <w:r>
        <w:rPr>
          <w:spacing w:val="-4"/>
          <w:sz w:val="24"/>
          <w:szCs w:val="24"/>
        </w:rPr>
        <w:t>求”中技术要求和商务要求”的条款进行逐项说明是否满足要求，并附相关证明文件，同时将相关证明文件的相应页码填写到上表“响应文件</w:t>
      </w:r>
      <w:r>
        <w:rPr>
          <w:sz w:val="24"/>
          <w:szCs w:val="24"/>
        </w:rPr>
        <w:t>中对应的页码”中。</w:t>
      </w:r>
      <w:r>
        <w:rPr>
          <w:rFonts w:cs="宋体"/>
        </w:rPr>
        <w:t xml:space="preserve"> </w:t>
      </w:r>
    </w:p>
    <w:p>
      <w:pPr>
        <w:pStyle w:val="77"/>
        <w:adjustRightInd w:val="0"/>
        <w:snapToGrid w:val="0"/>
        <w:ind w:left="0" w:firstLine="0"/>
        <w:rPr>
          <w:rFonts w:ascii="宋体" w:hAnsi="宋体" w:cs="Corbel"/>
          <w:sz w:val="24"/>
          <w:szCs w:val="24"/>
        </w:rPr>
      </w:pPr>
    </w:p>
    <w:p>
      <w:pPr>
        <w:pStyle w:val="77"/>
        <w:adjustRightInd w:val="0"/>
        <w:snapToGrid w:val="0"/>
        <w:rPr>
          <w:rFonts w:ascii="宋体" w:hAnsi="宋体" w:cs="Corbel"/>
          <w:szCs w:val="28"/>
        </w:rPr>
      </w:pPr>
    </w:p>
    <w:p>
      <w:pPr>
        <w:pStyle w:val="77"/>
        <w:adjustRightInd w:val="0"/>
        <w:snapToGrid w:val="0"/>
        <w:rPr>
          <w:rFonts w:ascii="宋体" w:hAnsi="宋体" w:cs="Corbel"/>
          <w:szCs w:val="28"/>
        </w:rPr>
      </w:pPr>
    </w:p>
    <w:p>
      <w:pPr>
        <w:pStyle w:val="77"/>
        <w:adjustRightInd w:val="0"/>
        <w:snapToGrid w:val="0"/>
        <w:ind w:left="0" w:firstLine="0"/>
        <w:jc w:val="left"/>
      </w:pPr>
    </w:p>
    <w:sectPr>
      <w:pgSz w:w="11906" w:h="16838"/>
      <w:pgMar w:top="1440" w:right="1230" w:bottom="1440" w:left="1230" w:header="851" w:footer="992" w:gutter="0"/>
      <w:cols w:space="0" w:num="1"/>
      <w:titlePg/>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等线">
    <w:altName w:val="Arial Unicode MS"/>
    <w:panose1 w:val="00000000000000000000"/>
    <w:charset w:val="86"/>
    <w:family w:val="auto"/>
    <w:pitch w:val="default"/>
    <w:sig w:usb0="00000000" w:usb1="00000000"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Corbel">
    <w:panose1 w:val="020B0503020204020204"/>
    <w:charset w:val="00"/>
    <w:family w:val="swiss"/>
    <w:pitch w:val="default"/>
    <w:sig w:usb0="A00002EF" w:usb1="4000A44B"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6851"/>
    </w:sdtPr>
    <w:sdtContent>
      <w:p>
        <w:pPr>
          <w:pStyle w:val="26"/>
          <w:jc w:val="center"/>
        </w:pPr>
        <w:r>
          <w:fldChar w:fldCharType="begin"/>
        </w:r>
        <w:r>
          <w:instrText xml:space="preserve"> PAGE   \* MERGEFORMAT </w:instrText>
        </w:r>
        <w:r>
          <w:fldChar w:fldCharType="separate"/>
        </w:r>
        <w:r>
          <w:rPr>
            <w:lang w:val="zh-CN"/>
          </w:rPr>
          <w:t>13</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path/>
          <v:fill on="f" focussize="0,0"/>
          <v:stroke on="f" weight="0.5pt" joinstyle="miter"/>
          <v:imagedata o:title=""/>
          <o:lock v:ext="edit"/>
          <v:textbox inset="0mm,0mm,0mm,0mm" style="mso-fit-shape-to-text:t;">
            <w:txbxContent>
              <w:p>
                <w:pPr>
                  <w:pStyle w:val="26"/>
                </w:pPr>
                <w:r>
                  <w:fldChar w:fldCharType="begin"/>
                </w:r>
                <w:r>
                  <w:instrText xml:space="preserve"> PAGE  \* MERGEFORMAT </w:instrText>
                </w:r>
                <w:r>
                  <w:fldChar w:fldCharType="separate"/>
                </w:r>
                <w:r>
                  <w:t>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E93"/>
    <w:multiLevelType w:val="singleLevel"/>
    <w:tmpl w:val="046C5E93"/>
    <w:lvl w:ilvl="0" w:tentative="0">
      <w:start w:val="3"/>
      <w:numFmt w:val="decimal"/>
      <w:suff w:val="nothing"/>
      <w:lvlText w:val="（%1）"/>
      <w:lvlJc w:val="left"/>
    </w:lvl>
  </w:abstractNum>
  <w:abstractNum w:abstractNumId="1">
    <w:nsid w:val="13B249E6"/>
    <w:multiLevelType w:val="singleLevel"/>
    <w:tmpl w:val="13B249E6"/>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cumentProtection w:enforcement="0"/>
  <w:defaultTabStop w:val="420"/>
  <w:drawingGridHorizontalSpacing w:val="105"/>
  <w:drawingGridVerticalSpacing w:val="157"/>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3FA7"/>
    <w:rsid w:val="00012B67"/>
    <w:rsid w:val="00012DEF"/>
    <w:rsid w:val="00022DC5"/>
    <w:rsid w:val="00034C3A"/>
    <w:rsid w:val="00050FD1"/>
    <w:rsid w:val="000530F6"/>
    <w:rsid w:val="000546D1"/>
    <w:rsid w:val="000A363A"/>
    <w:rsid w:val="000A4070"/>
    <w:rsid w:val="000A68BE"/>
    <w:rsid w:val="000B4193"/>
    <w:rsid w:val="000C529C"/>
    <w:rsid w:val="000F0CAC"/>
    <w:rsid w:val="000F513E"/>
    <w:rsid w:val="001055AE"/>
    <w:rsid w:val="00125C2C"/>
    <w:rsid w:val="00127A81"/>
    <w:rsid w:val="00137D01"/>
    <w:rsid w:val="00141C1A"/>
    <w:rsid w:val="00147B44"/>
    <w:rsid w:val="00154738"/>
    <w:rsid w:val="0016268D"/>
    <w:rsid w:val="00173E17"/>
    <w:rsid w:val="00176E17"/>
    <w:rsid w:val="00177C41"/>
    <w:rsid w:val="00180E96"/>
    <w:rsid w:val="001B6F7E"/>
    <w:rsid w:val="00200582"/>
    <w:rsid w:val="0020315E"/>
    <w:rsid w:val="00203AB0"/>
    <w:rsid w:val="00206E61"/>
    <w:rsid w:val="00230260"/>
    <w:rsid w:val="00272FAF"/>
    <w:rsid w:val="00280F3B"/>
    <w:rsid w:val="0028189E"/>
    <w:rsid w:val="00291EC7"/>
    <w:rsid w:val="00296B38"/>
    <w:rsid w:val="002B3912"/>
    <w:rsid w:val="002D184E"/>
    <w:rsid w:val="002E5255"/>
    <w:rsid w:val="00316AE3"/>
    <w:rsid w:val="0032085A"/>
    <w:rsid w:val="00370A39"/>
    <w:rsid w:val="003A3F74"/>
    <w:rsid w:val="003C67B6"/>
    <w:rsid w:val="003C7C3F"/>
    <w:rsid w:val="003F2955"/>
    <w:rsid w:val="004246B2"/>
    <w:rsid w:val="00431ED3"/>
    <w:rsid w:val="0044229A"/>
    <w:rsid w:val="00443169"/>
    <w:rsid w:val="00446879"/>
    <w:rsid w:val="00464C54"/>
    <w:rsid w:val="00466531"/>
    <w:rsid w:val="0047046D"/>
    <w:rsid w:val="004733DE"/>
    <w:rsid w:val="004972D1"/>
    <w:rsid w:val="004A0DC1"/>
    <w:rsid w:val="004A3B06"/>
    <w:rsid w:val="004B0C08"/>
    <w:rsid w:val="004F3F52"/>
    <w:rsid w:val="00520285"/>
    <w:rsid w:val="005508AD"/>
    <w:rsid w:val="00552E79"/>
    <w:rsid w:val="00553662"/>
    <w:rsid w:val="00556C00"/>
    <w:rsid w:val="005B7476"/>
    <w:rsid w:val="005D7E09"/>
    <w:rsid w:val="005E2EA7"/>
    <w:rsid w:val="005E4EA4"/>
    <w:rsid w:val="005E6CF3"/>
    <w:rsid w:val="005F2583"/>
    <w:rsid w:val="00600955"/>
    <w:rsid w:val="00614636"/>
    <w:rsid w:val="006265C8"/>
    <w:rsid w:val="0063277B"/>
    <w:rsid w:val="00640DE7"/>
    <w:rsid w:val="006542B7"/>
    <w:rsid w:val="00693146"/>
    <w:rsid w:val="00695800"/>
    <w:rsid w:val="006A2F35"/>
    <w:rsid w:val="006A4E09"/>
    <w:rsid w:val="006B26D1"/>
    <w:rsid w:val="006C4A8F"/>
    <w:rsid w:val="006D3283"/>
    <w:rsid w:val="006E4D25"/>
    <w:rsid w:val="006F2D45"/>
    <w:rsid w:val="00726654"/>
    <w:rsid w:val="0073707B"/>
    <w:rsid w:val="00753019"/>
    <w:rsid w:val="007B228D"/>
    <w:rsid w:val="007E269E"/>
    <w:rsid w:val="007E4D95"/>
    <w:rsid w:val="007E6C84"/>
    <w:rsid w:val="0081189D"/>
    <w:rsid w:val="00815F3D"/>
    <w:rsid w:val="008431D4"/>
    <w:rsid w:val="00843FAE"/>
    <w:rsid w:val="00845CB0"/>
    <w:rsid w:val="00872668"/>
    <w:rsid w:val="00872D0E"/>
    <w:rsid w:val="00872D79"/>
    <w:rsid w:val="00886702"/>
    <w:rsid w:val="008B09AD"/>
    <w:rsid w:val="008C0B94"/>
    <w:rsid w:val="008C1948"/>
    <w:rsid w:val="008E4EFF"/>
    <w:rsid w:val="00952DD3"/>
    <w:rsid w:val="00964274"/>
    <w:rsid w:val="00965EDA"/>
    <w:rsid w:val="009721BB"/>
    <w:rsid w:val="00984C27"/>
    <w:rsid w:val="00993FA7"/>
    <w:rsid w:val="009A3327"/>
    <w:rsid w:val="009A7FF5"/>
    <w:rsid w:val="009B783F"/>
    <w:rsid w:val="009C4F2E"/>
    <w:rsid w:val="009C6B1E"/>
    <w:rsid w:val="009C6E2E"/>
    <w:rsid w:val="009C6F8B"/>
    <w:rsid w:val="009E131F"/>
    <w:rsid w:val="009F188D"/>
    <w:rsid w:val="00A11ADB"/>
    <w:rsid w:val="00A16214"/>
    <w:rsid w:val="00A25FAB"/>
    <w:rsid w:val="00A420AE"/>
    <w:rsid w:val="00A42BDE"/>
    <w:rsid w:val="00A52560"/>
    <w:rsid w:val="00A602D6"/>
    <w:rsid w:val="00A6044B"/>
    <w:rsid w:val="00A75430"/>
    <w:rsid w:val="00A80D45"/>
    <w:rsid w:val="00A9744C"/>
    <w:rsid w:val="00AA3108"/>
    <w:rsid w:val="00AA3DF7"/>
    <w:rsid w:val="00AB471A"/>
    <w:rsid w:val="00AB7A27"/>
    <w:rsid w:val="00AC2DAD"/>
    <w:rsid w:val="00B14AFF"/>
    <w:rsid w:val="00B2535F"/>
    <w:rsid w:val="00B85B59"/>
    <w:rsid w:val="00B9129B"/>
    <w:rsid w:val="00B9136B"/>
    <w:rsid w:val="00BA21F7"/>
    <w:rsid w:val="00BC46A5"/>
    <w:rsid w:val="00BF58DD"/>
    <w:rsid w:val="00C11BED"/>
    <w:rsid w:val="00C27FF1"/>
    <w:rsid w:val="00C46BC4"/>
    <w:rsid w:val="00C53330"/>
    <w:rsid w:val="00C76EFA"/>
    <w:rsid w:val="00CD653C"/>
    <w:rsid w:val="00D13BEC"/>
    <w:rsid w:val="00D219E2"/>
    <w:rsid w:val="00D32288"/>
    <w:rsid w:val="00D33850"/>
    <w:rsid w:val="00D54FEC"/>
    <w:rsid w:val="00D75987"/>
    <w:rsid w:val="00D853C8"/>
    <w:rsid w:val="00DE6318"/>
    <w:rsid w:val="00DF43DC"/>
    <w:rsid w:val="00E00AF4"/>
    <w:rsid w:val="00E17060"/>
    <w:rsid w:val="00E2597E"/>
    <w:rsid w:val="00E33F95"/>
    <w:rsid w:val="00E70A2C"/>
    <w:rsid w:val="00E82C50"/>
    <w:rsid w:val="00E82DDD"/>
    <w:rsid w:val="00E8474F"/>
    <w:rsid w:val="00E955DE"/>
    <w:rsid w:val="00E97419"/>
    <w:rsid w:val="00EC4D27"/>
    <w:rsid w:val="00ED2966"/>
    <w:rsid w:val="00EE278A"/>
    <w:rsid w:val="00EE64D5"/>
    <w:rsid w:val="00EF35F8"/>
    <w:rsid w:val="00EF521B"/>
    <w:rsid w:val="00F40E81"/>
    <w:rsid w:val="00F43F17"/>
    <w:rsid w:val="00F479A3"/>
    <w:rsid w:val="00F75151"/>
    <w:rsid w:val="00F94C87"/>
    <w:rsid w:val="00FA0693"/>
    <w:rsid w:val="00FA74C8"/>
    <w:rsid w:val="00FB1884"/>
    <w:rsid w:val="00FC3258"/>
    <w:rsid w:val="00FC4E6E"/>
    <w:rsid w:val="00FF26B5"/>
    <w:rsid w:val="01374492"/>
    <w:rsid w:val="013E3E79"/>
    <w:rsid w:val="01B97B49"/>
    <w:rsid w:val="01BD22A1"/>
    <w:rsid w:val="0219184B"/>
    <w:rsid w:val="024217A3"/>
    <w:rsid w:val="02B73179"/>
    <w:rsid w:val="02C94E6E"/>
    <w:rsid w:val="02E66613"/>
    <w:rsid w:val="02F05A40"/>
    <w:rsid w:val="03057C82"/>
    <w:rsid w:val="030629E8"/>
    <w:rsid w:val="031B72D4"/>
    <w:rsid w:val="032B32AD"/>
    <w:rsid w:val="03745BA1"/>
    <w:rsid w:val="039207D3"/>
    <w:rsid w:val="03A70FAA"/>
    <w:rsid w:val="03CF1FF8"/>
    <w:rsid w:val="04034CCB"/>
    <w:rsid w:val="04154796"/>
    <w:rsid w:val="041E263D"/>
    <w:rsid w:val="043A20B8"/>
    <w:rsid w:val="04992BFF"/>
    <w:rsid w:val="049B4B41"/>
    <w:rsid w:val="04AE2478"/>
    <w:rsid w:val="04DB1949"/>
    <w:rsid w:val="050B4833"/>
    <w:rsid w:val="053777D9"/>
    <w:rsid w:val="05835929"/>
    <w:rsid w:val="05BB3088"/>
    <w:rsid w:val="05C060B1"/>
    <w:rsid w:val="060E7C42"/>
    <w:rsid w:val="065C3B7B"/>
    <w:rsid w:val="06835CCA"/>
    <w:rsid w:val="068702A6"/>
    <w:rsid w:val="06A953A7"/>
    <w:rsid w:val="06D65078"/>
    <w:rsid w:val="070206E6"/>
    <w:rsid w:val="070B17A1"/>
    <w:rsid w:val="070C3656"/>
    <w:rsid w:val="072D1BA0"/>
    <w:rsid w:val="073346E8"/>
    <w:rsid w:val="07400FC4"/>
    <w:rsid w:val="079433F4"/>
    <w:rsid w:val="07EF73AB"/>
    <w:rsid w:val="08644500"/>
    <w:rsid w:val="0899599B"/>
    <w:rsid w:val="08C57E20"/>
    <w:rsid w:val="08D83198"/>
    <w:rsid w:val="090964CF"/>
    <w:rsid w:val="091D4432"/>
    <w:rsid w:val="09BC76DB"/>
    <w:rsid w:val="0A354FF2"/>
    <w:rsid w:val="0ADF4E50"/>
    <w:rsid w:val="0B0E7943"/>
    <w:rsid w:val="0B19376C"/>
    <w:rsid w:val="0B4B1375"/>
    <w:rsid w:val="0B6F2953"/>
    <w:rsid w:val="0B9F474E"/>
    <w:rsid w:val="0BB517DB"/>
    <w:rsid w:val="0BF16ABA"/>
    <w:rsid w:val="0BFF3F85"/>
    <w:rsid w:val="0C014654"/>
    <w:rsid w:val="0C352B90"/>
    <w:rsid w:val="0C381C31"/>
    <w:rsid w:val="0C5B4F0B"/>
    <w:rsid w:val="0C715ECF"/>
    <w:rsid w:val="0C8C2CF2"/>
    <w:rsid w:val="0CB30416"/>
    <w:rsid w:val="0CF54757"/>
    <w:rsid w:val="0D1159F6"/>
    <w:rsid w:val="0D1266BD"/>
    <w:rsid w:val="0D223D7B"/>
    <w:rsid w:val="0D2C088F"/>
    <w:rsid w:val="0D896671"/>
    <w:rsid w:val="0D905C2B"/>
    <w:rsid w:val="0DB0417F"/>
    <w:rsid w:val="0DE87A30"/>
    <w:rsid w:val="0E277444"/>
    <w:rsid w:val="0E5F4B9C"/>
    <w:rsid w:val="0E64461A"/>
    <w:rsid w:val="0E7C49CB"/>
    <w:rsid w:val="0EC31BDE"/>
    <w:rsid w:val="0EE0379F"/>
    <w:rsid w:val="0F105FED"/>
    <w:rsid w:val="0F2B1C89"/>
    <w:rsid w:val="0F3951FA"/>
    <w:rsid w:val="0F4D1905"/>
    <w:rsid w:val="0F8441C8"/>
    <w:rsid w:val="0F885A46"/>
    <w:rsid w:val="0FD361E9"/>
    <w:rsid w:val="0FDF6998"/>
    <w:rsid w:val="1033049A"/>
    <w:rsid w:val="107A786A"/>
    <w:rsid w:val="108438A9"/>
    <w:rsid w:val="10870684"/>
    <w:rsid w:val="10A0771F"/>
    <w:rsid w:val="10A3299E"/>
    <w:rsid w:val="112176AB"/>
    <w:rsid w:val="113B57DE"/>
    <w:rsid w:val="11800EBA"/>
    <w:rsid w:val="11A86ECB"/>
    <w:rsid w:val="11B1445E"/>
    <w:rsid w:val="11C5108B"/>
    <w:rsid w:val="1215029D"/>
    <w:rsid w:val="124933F5"/>
    <w:rsid w:val="124F0718"/>
    <w:rsid w:val="127B06F4"/>
    <w:rsid w:val="129F31BD"/>
    <w:rsid w:val="12A93A9B"/>
    <w:rsid w:val="12BE62E9"/>
    <w:rsid w:val="12BF3E11"/>
    <w:rsid w:val="12D83372"/>
    <w:rsid w:val="12D850DB"/>
    <w:rsid w:val="12EE77F1"/>
    <w:rsid w:val="130E6FC2"/>
    <w:rsid w:val="13166961"/>
    <w:rsid w:val="133D500F"/>
    <w:rsid w:val="13411B3E"/>
    <w:rsid w:val="1359648D"/>
    <w:rsid w:val="1376174F"/>
    <w:rsid w:val="13986A06"/>
    <w:rsid w:val="13F6699E"/>
    <w:rsid w:val="1420612C"/>
    <w:rsid w:val="14EB2539"/>
    <w:rsid w:val="14EF3F4A"/>
    <w:rsid w:val="14F535DA"/>
    <w:rsid w:val="15025349"/>
    <w:rsid w:val="15854594"/>
    <w:rsid w:val="159202F2"/>
    <w:rsid w:val="15C110D5"/>
    <w:rsid w:val="162268D8"/>
    <w:rsid w:val="1642141D"/>
    <w:rsid w:val="164D0E4E"/>
    <w:rsid w:val="16681CB3"/>
    <w:rsid w:val="169B2138"/>
    <w:rsid w:val="16CF479E"/>
    <w:rsid w:val="17540905"/>
    <w:rsid w:val="17774C2C"/>
    <w:rsid w:val="177B5F12"/>
    <w:rsid w:val="17FD2F31"/>
    <w:rsid w:val="18052694"/>
    <w:rsid w:val="183313BF"/>
    <w:rsid w:val="183C611B"/>
    <w:rsid w:val="18415870"/>
    <w:rsid w:val="187031DE"/>
    <w:rsid w:val="18772A2D"/>
    <w:rsid w:val="1889648B"/>
    <w:rsid w:val="18B1606E"/>
    <w:rsid w:val="18B77796"/>
    <w:rsid w:val="18DA372A"/>
    <w:rsid w:val="18EF4B2E"/>
    <w:rsid w:val="19057292"/>
    <w:rsid w:val="196B42C7"/>
    <w:rsid w:val="197C1723"/>
    <w:rsid w:val="199D6D6F"/>
    <w:rsid w:val="19B96CCE"/>
    <w:rsid w:val="19BE77E2"/>
    <w:rsid w:val="19C01BB1"/>
    <w:rsid w:val="19F032A9"/>
    <w:rsid w:val="19F569AA"/>
    <w:rsid w:val="1A1940FB"/>
    <w:rsid w:val="1A4F699C"/>
    <w:rsid w:val="1A68501E"/>
    <w:rsid w:val="1AAC40DF"/>
    <w:rsid w:val="1B2A2BE0"/>
    <w:rsid w:val="1B4A66CC"/>
    <w:rsid w:val="1B7156E8"/>
    <w:rsid w:val="1B7424E2"/>
    <w:rsid w:val="1B7E4E1D"/>
    <w:rsid w:val="1B9B1EE5"/>
    <w:rsid w:val="1B9F2A20"/>
    <w:rsid w:val="1BE82572"/>
    <w:rsid w:val="1C2E6F14"/>
    <w:rsid w:val="1C52689F"/>
    <w:rsid w:val="1CDC4936"/>
    <w:rsid w:val="1D424DA2"/>
    <w:rsid w:val="1D444BC7"/>
    <w:rsid w:val="1D5D13ED"/>
    <w:rsid w:val="1D617638"/>
    <w:rsid w:val="1D910ED9"/>
    <w:rsid w:val="1D9122D1"/>
    <w:rsid w:val="1D9D2911"/>
    <w:rsid w:val="1DA93C8F"/>
    <w:rsid w:val="1DB61502"/>
    <w:rsid w:val="1DC32716"/>
    <w:rsid w:val="1DDC6DF4"/>
    <w:rsid w:val="1DF7559D"/>
    <w:rsid w:val="1EAE6535"/>
    <w:rsid w:val="1EBB4334"/>
    <w:rsid w:val="1F1120A9"/>
    <w:rsid w:val="1F217F40"/>
    <w:rsid w:val="1F3C467E"/>
    <w:rsid w:val="1F4F554F"/>
    <w:rsid w:val="1FA36855"/>
    <w:rsid w:val="1FCE2D76"/>
    <w:rsid w:val="1FDF45B8"/>
    <w:rsid w:val="202B13FF"/>
    <w:rsid w:val="203103C4"/>
    <w:rsid w:val="20510B51"/>
    <w:rsid w:val="207F6E9B"/>
    <w:rsid w:val="20C521F0"/>
    <w:rsid w:val="20E7143F"/>
    <w:rsid w:val="20EB1249"/>
    <w:rsid w:val="21146660"/>
    <w:rsid w:val="213409E0"/>
    <w:rsid w:val="21723637"/>
    <w:rsid w:val="217C1FB2"/>
    <w:rsid w:val="21B06EF6"/>
    <w:rsid w:val="21B72157"/>
    <w:rsid w:val="21BD470D"/>
    <w:rsid w:val="21BF6799"/>
    <w:rsid w:val="21E369C4"/>
    <w:rsid w:val="22013B5D"/>
    <w:rsid w:val="229B5D46"/>
    <w:rsid w:val="229D7A87"/>
    <w:rsid w:val="22A7691F"/>
    <w:rsid w:val="23381323"/>
    <w:rsid w:val="23487D37"/>
    <w:rsid w:val="23506974"/>
    <w:rsid w:val="23676EDB"/>
    <w:rsid w:val="239B6856"/>
    <w:rsid w:val="23C86000"/>
    <w:rsid w:val="23D26797"/>
    <w:rsid w:val="23E12164"/>
    <w:rsid w:val="23E71479"/>
    <w:rsid w:val="245D35E2"/>
    <w:rsid w:val="24703899"/>
    <w:rsid w:val="249B090E"/>
    <w:rsid w:val="24A03663"/>
    <w:rsid w:val="24F10075"/>
    <w:rsid w:val="24FC3D1C"/>
    <w:rsid w:val="25223A0C"/>
    <w:rsid w:val="253A20A6"/>
    <w:rsid w:val="254910A6"/>
    <w:rsid w:val="2571068B"/>
    <w:rsid w:val="25834814"/>
    <w:rsid w:val="25D106B8"/>
    <w:rsid w:val="26005AC8"/>
    <w:rsid w:val="260B02BF"/>
    <w:rsid w:val="262F2F53"/>
    <w:rsid w:val="263C5562"/>
    <w:rsid w:val="265713EC"/>
    <w:rsid w:val="26616B46"/>
    <w:rsid w:val="26B06325"/>
    <w:rsid w:val="26F96ED0"/>
    <w:rsid w:val="271A1FDB"/>
    <w:rsid w:val="27D44032"/>
    <w:rsid w:val="27FD7EB6"/>
    <w:rsid w:val="280C27C4"/>
    <w:rsid w:val="28166820"/>
    <w:rsid w:val="28284BAD"/>
    <w:rsid w:val="28585F8E"/>
    <w:rsid w:val="28813130"/>
    <w:rsid w:val="28AF0BE9"/>
    <w:rsid w:val="28C178CC"/>
    <w:rsid w:val="29394781"/>
    <w:rsid w:val="29520465"/>
    <w:rsid w:val="29A32824"/>
    <w:rsid w:val="29A71891"/>
    <w:rsid w:val="29E16425"/>
    <w:rsid w:val="29F02B52"/>
    <w:rsid w:val="2A964818"/>
    <w:rsid w:val="2A9D1757"/>
    <w:rsid w:val="2ABE5497"/>
    <w:rsid w:val="2AE154ED"/>
    <w:rsid w:val="2B57489C"/>
    <w:rsid w:val="2B5A7F1E"/>
    <w:rsid w:val="2B5E44AB"/>
    <w:rsid w:val="2BAD3320"/>
    <w:rsid w:val="2BEB05CF"/>
    <w:rsid w:val="2C4A434E"/>
    <w:rsid w:val="2C5E1023"/>
    <w:rsid w:val="2C5F319D"/>
    <w:rsid w:val="2CD55E69"/>
    <w:rsid w:val="2CF64853"/>
    <w:rsid w:val="2D161023"/>
    <w:rsid w:val="2D222B88"/>
    <w:rsid w:val="2D4A7445"/>
    <w:rsid w:val="2D4C326C"/>
    <w:rsid w:val="2D7B4166"/>
    <w:rsid w:val="2D840C75"/>
    <w:rsid w:val="2D906C66"/>
    <w:rsid w:val="2DCE3D3E"/>
    <w:rsid w:val="2DFD2D02"/>
    <w:rsid w:val="2E1C4355"/>
    <w:rsid w:val="2E4253B8"/>
    <w:rsid w:val="2E554887"/>
    <w:rsid w:val="2E613885"/>
    <w:rsid w:val="2EB5778C"/>
    <w:rsid w:val="2ED00AC1"/>
    <w:rsid w:val="2ED059C9"/>
    <w:rsid w:val="2EF10032"/>
    <w:rsid w:val="2F1B4D51"/>
    <w:rsid w:val="2F374BD3"/>
    <w:rsid w:val="2F8071DB"/>
    <w:rsid w:val="2F9E0767"/>
    <w:rsid w:val="2FA9797C"/>
    <w:rsid w:val="2FBE3E7C"/>
    <w:rsid w:val="30277452"/>
    <w:rsid w:val="302C5336"/>
    <w:rsid w:val="30345522"/>
    <w:rsid w:val="30780F59"/>
    <w:rsid w:val="308F4337"/>
    <w:rsid w:val="30902B5B"/>
    <w:rsid w:val="30B30309"/>
    <w:rsid w:val="30E42D18"/>
    <w:rsid w:val="30FA0C94"/>
    <w:rsid w:val="31363DAC"/>
    <w:rsid w:val="314E66A1"/>
    <w:rsid w:val="3152673E"/>
    <w:rsid w:val="31976CB2"/>
    <w:rsid w:val="31FB3EFB"/>
    <w:rsid w:val="32013387"/>
    <w:rsid w:val="32126197"/>
    <w:rsid w:val="3286302E"/>
    <w:rsid w:val="3286626A"/>
    <w:rsid w:val="32C70327"/>
    <w:rsid w:val="32F55090"/>
    <w:rsid w:val="330D61AC"/>
    <w:rsid w:val="332A3250"/>
    <w:rsid w:val="33946F09"/>
    <w:rsid w:val="33A662B6"/>
    <w:rsid w:val="34004FED"/>
    <w:rsid w:val="342F7031"/>
    <w:rsid w:val="3434633C"/>
    <w:rsid w:val="345D303A"/>
    <w:rsid w:val="345D52D7"/>
    <w:rsid w:val="346D6F75"/>
    <w:rsid w:val="347E731C"/>
    <w:rsid w:val="34AE03B9"/>
    <w:rsid w:val="34D47984"/>
    <w:rsid w:val="35335EF0"/>
    <w:rsid w:val="355D289F"/>
    <w:rsid w:val="355D4F43"/>
    <w:rsid w:val="35A24CFD"/>
    <w:rsid w:val="35D70472"/>
    <w:rsid w:val="35FC7CE1"/>
    <w:rsid w:val="360D02B3"/>
    <w:rsid w:val="36760177"/>
    <w:rsid w:val="36D51659"/>
    <w:rsid w:val="36F159CF"/>
    <w:rsid w:val="37161DF9"/>
    <w:rsid w:val="374C7470"/>
    <w:rsid w:val="37CD22F8"/>
    <w:rsid w:val="37D02F09"/>
    <w:rsid w:val="37D51A2B"/>
    <w:rsid w:val="38173CB0"/>
    <w:rsid w:val="38733B7F"/>
    <w:rsid w:val="388961D0"/>
    <w:rsid w:val="388B078E"/>
    <w:rsid w:val="389A4F07"/>
    <w:rsid w:val="390977C5"/>
    <w:rsid w:val="39585080"/>
    <w:rsid w:val="39916128"/>
    <w:rsid w:val="3A3931E4"/>
    <w:rsid w:val="3A714D4F"/>
    <w:rsid w:val="3AC374C6"/>
    <w:rsid w:val="3AC83E56"/>
    <w:rsid w:val="3AD30211"/>
    <w:rsid w:val="3AD66D86"/>
    <w:rsid w:val="3B56779F"/>
    <w:rsid w:val="3B5E09A1"/>
    <w:rsid w:val="3B61589A"/>
    <w:rsid w:val="3B813355"/>
    <w:rsid w:val="3BAB3B83"/>
    <w:rsid w:val="3BC235CB"/>
    <w:rsid w:val="3C156452"/>
    <w:rsid w:val="3C5131D3"/>
    <w:rsid w:val="3C6774E0"/>
    <w:rsid w:val="3CB53604"/>
    <w:rsid w:val="3CDE2E5B"/>
    <w:rsid w:val="3D27488A"/>
    <w:rsid w:val="3D6078F8"/>
    <w:rsid w:val="3D6564B7"/>
    <w:rsid w:val="3D7361F7"/>
    <w:rsid w:val="3D7A7A6C"/>
    <w:rsid w:val="3DAD32BD"/>
    <w:rsid w:val="3DB302D3"/>
    <w:rsid w:val="3DF73808"/>
    <w:rsid w:val="3E7F2E88"/>
    <w:rsid w:val="3EFC0E65"/>
    <w:rsid w:val="3F6920F2"/>
    <w:rsid w:val="3F8A3B41"/>
    <w:rsid w:val="3FB0616F"/>
    <w:rsid w:val="40743C9A"/>
    <w:rsid w:val="40A23FC4"/>
    <w:rsid w:val="40C84EF1"/>
    <w:rsid w:val="41190ECF"/>
    <w:rsid w:val="41423220"/>
    <w:rsid w:val="41B40254"/>
    <w:rsid w:val="41BC7256"/>
    <w:rsid w:val="41BE3987"/>
    <w:rsid w:val="41D74C3C"/>
    <w:rsid w:val="41E20E05"/>
    <w:rsid w:val="41E63E2A"/>
    <w:rsid w:val="427664C2"/>
    <w:rsid w:val="43122C17"/>
    <w:rsid w:val="43656EB5"/>
    <w:rsid w:val="439D7008"/>
    <w:rsid w:val="440143F0"/>
    <w:rsid w:val="442532E8"/>
    <w:rsid w:val="44463C4A"/>
    <w:rsid w:val="44B72400"/>
    <w:rsid w:val="44F84940"/>
    <w:rsid w:val="45624215"/>
    <w:rsid w:val="4567612C"/>
    <w:rsid w:val="45A147CF"/>
    <w:rsid w:val="46761ABF"/>
    <w:rsid w:val="468C6D72"/>
    <w:rsid w:val="47675976"/>
    <w:rsid w:val="47E4738E"/>
    <w:rsid w:val="48314F91"/>
    <w:rsid w:val="485D1480"/>
    <w:rsid w:val="485D4A2E"/>
    <w:rsid w:val="48650CF2"/>
    <w:rsid w:val="48686E44"/>
    <w:rsid w:val="488749E3"/>
    <w:rsid w:val="48D2006B"/>
    <w:rsid w:val="48F232D9"/>
    <w:rsid w:val="492740C0"/>
    <w:rsid w:val="493B4BE4"/>
    <w:rsid w:val="496C2F3A"/>
    <w:rsid w:val="49814C6B"/>
    <w:rsid w:val="49BA585B"/>
    <w:rsid w:val="49F71A6D"/>
    <w:rsid w:val="4A2E3BA3"/>
    <w:rsid w:val="4A644ECF"/>
    <w:rsid w:val="4A716B84"/>
    <w:rsid w:val="4ACE2474"/>
    <w:rsid w:val="4AD218C3"/>
    <w:rsid w:val="4AD97741"/>
    <w:rsid w:val="4B353A33"/>
    <w:rsid w:val="4B7524F8"/>
    <w:rsid w:val="4B776D8F"/>
    <w:rsid w:val="4B893632"/>
    <w:rsid w:val="4B96240D"/>
    <w:rsid w:val="4BC86E8E"/>
    <w:rsid w:val="4C3E0C4B"/>
    <w:rsid w:val="4C520CF8"/>
    <w:rsid w:val="4C5757D5"/>
    <w:rsid w:val="4C5E66E2"/>
    <w:rsid w:val="4C6379FD"/>
    <w:rsid w:val="4C8F1E60"/>
    <w:rsid w:val="4CA032A4"/>
    <w:rsid w:val="4CB1453E"/>
    <w:rsid w:val="4D006D2C"/>
    <w:rsid w:val="4D1C7733"/>
    <w:rsid w:val="4D2872BF"/>
    <w:rsid w:val="4D55514B"/>
    <w:rsid w:val="4D5C0195"/>
    <w:rsid w:val="4D777013"/>
    <w:rsid w:val="4D9150B6"/>
    <w:rsid w:val="4E3A00EB"/>
    <w:rsid w:val="4E671F08"/>
    <w:rsid w:val="4EBF7F2B"/>
    <w:rsid w:val="4EC60876"/>
    <w:rsid w:val="4ECE1E4B"/>
    <w:rsid w:val="4F4969DD"/>
    <w:rsid w:val="4F795D31"/>
    <w:rsid w:val="4F8E42FB"/>
    <w:rsid w:val="4FD6044A"/>
    <w:rsid w:val="4FDC7748"/>
    <w:rsid w:val="507A39AC"/>
    <w:rsid w:val="507C1346"/>
    <w:rsid w:val="512419C4"/>
    <w:rsid w:val="512B675D"/>
    <w:rsid w:val="5131781C"/>
    <w:rsid w:val="515431B6"/>
    <w:rsid w:val="517D1745"/>
    <w:rsid w:val="517D3D14"/>
    <w:rsid w:val="51986EA2"/>
    <w:rsid w:val="51B75A79"/>
    <w:rsid w:val="523B4CE1"/>
    <w:rsid w:val="52517908"/>
    <w:rsid w:val="526C6BF6"/>
    <w:rsid w:val="5271756A"/>
    <w:rsid w:val="52825663"/>
    <w:rsid w:val="53372D36"/>
    <w:rsid w:val="53D122C3"/>
    <w:rsid w:val="542E60BD"/>
    <w:rsid w:val="54F405A6"/>
    <w:rsid w:val="550275FC"/>
    <w:rsid w:val="55242F00"/>
    <w:rsid w:val="552E2933"/>
    <w:rsid w:val="552E715A"/>
    <w:rsid w:val="553D4991"/>
    <w:rsid w:val="555E611F"/>
    <w:rsid w:val="559929E2"/>
    <w:rsid w:val="559A1CD6"/>
    <w:rsid w:val="55D267B5"/>
    <w:rsid w:val="561228A3"/>
    <w:rsid w:val="56450A5D"/>
    <w:rsid w:val="5645140A"/>
    <w:rsid w:val="56BC2F00"/>
    <w:rsid w:val="56C67679"/>
    <w:rsid w:val="57006F2B"/>
    <w:rsid w:val="57085C98"/>
    <w:rsid w:val="57384A31"/>
    <w:rsid w:val="57607B2B"/>
    <w:rsid w:val="57732F98"/>
    <w:rsid w:val="57AC4468"/>
    <w:rsid w:val="57C11685"/>
    <w:rsid w:val="57C7691F"/>
    <w:rsid w:val="580B559D"/>
    <w:rsid w:val="581A1679"/>
    <w:rsid w:val="582A2DC4"/>
    <w:rsid w:val="582F7BC3"/>
    <w:rsid w:val="58311A79"/>
    <w:rsid w:val="5848046C"/>
    <w:rsid w:val="589A1E61"/>
    <w:rsid w:val="58A91CA3"/>
    <w:rsid w:val="58AE52AA"/>
    <w:rsid w:val="58E34F53"/>
    <w:rsid w:val="59166F57"/>
    <w:rsid w:val="591C00B2"/>
    <w:rsid w:val="59232BD7"/>
    <w:rsid w:val="59300C78"/>
    <w:rsid w:val="594002B6"/>
    <w:rsid w:val="59455C13"/>
    <w:rsid w:val="597D38AC"/>
    <w:rsid w:val="59894271"/>
    <w:rsid w:val="59D37EB2"/>
    <w:rsid w:val="5A4C0863"/>
    <w:rsid w:val="5A596912"/>
    <w:rsid w:val="5A7437AC"/>
    <w:rsid w:val="5ABF1738"/>
    <w:rsid w:val="5ADD2AF6"/>
    <w:rsid w:val="5AE202AC"/>
    <w:rsid w:val="5B26541F"/>
    <w:rsid w:val="5BD57BB0"/>
    <w:rsid w:val="5BDC3036"/>
    <w:rsid w:val="5BEB41D7"/>
    <w:rsid w:val="5BEC116F"/>
    <w:rsid w:val="5C553B63"/>
    <w:rsid w:val="5C610350"/>
    <w:rsid w:val="5C8A03A7"/>
    <w:rsid w:val="5C8D39EC"/>
    <w:rsid w:val="5C9A4597"/>
    <w:rsid w:val="5CC406A5"/>
    <w:rsid w:val="5CCE16E0"/>
    <w:rsid w:val="5CE1536A"/>
    <w:rsid w:val="5D117049"/>
    <w:rsid w:val="5D1B40C8"/>
    <w:rsid w:val="5D43463B"/>
    <w:rsid w:val="5D494CA8"/>
    <w:rsid w:val="5D5B4049"/>
    <w:rsid w:val="5D80538D"/>
    <w:rsid w:val="5D836B51"/>
    <w:rsid w:val="5D995689"/>
    <w:rsid w:val="5DA052DE"/>
    <w:rsid w:val="5E36012D"/>
    <w:rsid w:val="5E560C39"/>
    <w:rsid w:val="5E5A491D"/>
    <w:rsid w:val="5E9B1F4E"/>
    <w:rsid w:val="5EA765E9"/>
    <w:rsid w:val="5ED1646D"/>
    <w:rsid w:val="5ED52EC3"/>
    <w:rsid w:val="5EED4AC0"/>
    <w:rsid w:val="5EF80B4B"/>
    <w:rsid w:val="5F790D9C"/>
    <w:rsid w:val="5F7B3F5B"/>
    <w:rsid w:val="5FBB3C71"/>
    <w:rsid w:val="5FED33B1"/>
    <w:rsid w:val="5FF4635F"/>
    <w:rsid w:val="600E3F01"/>
    <w:rsid w:val="60AD30FA"/>
    <w:rsid w:val="60D76E30"/>
    <w:rsid w:val="60FC1BD5"/>
    <w:rsid w:val="613673E4"/>
    <w:rsid w:val="61470B99"/>
    <w:rsid w:val="61603DF9"/>
    <w:rsid w:val="616814D8"/>
    <w:rsid w:val="617F0918"/>
    <w:rsid w:val="6195000A"/>
    <w:rsid w:val="61A23CEE"/>
    <w:rsid w:val="61BC597A"/>
    <w:rsid w:val="61F26E93"/>
    <w:rsid w:val="628B6E71"/>
    <w:rsid w:val="62A84AD0"/>
    <w:rsid w:val="62E4574C"/>
    <w:rsid w:val="63356C02"/>
    <w:rsid w:val="63481295"/>
    <w:rsid w:val="638E61E8"/>
    <w:rsid w:val="63900884"/>
    <w:rsid w:val="63F01EBF"/>
    <w:rsid w:val="64A03293"/>
    <w:rsid w:val="64DF0FCA"/>
    <w:rsid w:val="64E56F9B"/>
    <w:rsid w:val="65076943"/>
    <w:rsid w:val="65206EE4"/>
    <w:rsid w:val="652F2440"/>
    <w:rsid w:val="655C350F"/>
    <w:rsid w:val="65BA4A8A"/>
    <w:rsid w:val="663B0890"/>
    <w:rsid w:val="665B7916"/>
    <w:rsid w:val="66994ADA"/>
    <w:rsid w:val="66B83112"/>
    <w:rsid w:val="66EA3D29"/>
    <w:rsid w:val="66F244EF"/>
    <w:rsid w:val="67190621"/>
    <w:rsid w:val="6757183A"/>
    <w:rsid w:val="67BF64C6"/>
    <w:rsid w:val="67D868F0"/>
    <w:rsid w:val="67DD095E"/>
    <w:rsid w:val="682303A8"/>
    <w:rsid w:val="683C4F62"/>
    <w:rsid w:val="687B5483"/>
    <w:rsid w:val="68B65C85"/>
    <w:rsid w:val="692548A8"/>
    <w:rsid w:val="69461635"/>
    <w:rsid w:val="69552323"/>
    <w:rsid w:val="69A21AA6"/>
    <w:rsid w:val="69B4647A"/>
    <w:rsid w:val="6A171287"/>
    <w:rsid w:val="6A2519DD"/>
    <w:rsid w:val="6A3853BB"/>
    <w:rsid w:val="6AC05938"/>
    <w:rsid w:val="6ADA1A04"/>
    <w:rsid w:val="6AE3174F"/>
    <w:rsid w:val="6AF77A9D"/>
    <w:rsid w:val="6B34220F"/>
    <w:rsid w:val="6B4F52F7"/>
    <w:rsid w:val="6B58044A"/>
    <w:rsid w:val="6B955521"/>
    <w:rsid w:val="6BEA2FFF"/>
    <w:rsid w:val="6BF9581C"/>
    <w:rsid w:val="6C274073"/>
    <w:rsid w:val="6C3A10FF"/>
    <w:rsid w:val="6C654BCB"/>
    <w:rsid w:val="6CB06D08"/>
    <w:rsid w:val="6CC6134D"/>
    <w:rsid w:val="6CCA60AB"/>
    <w:rsid w:val="6CD1113C"/>
    <w:rsid w:val="6CDF14A0"/>
    <w:rsid w:val="6CF726FC"/>
    <w:rsid w:val="6CF96D59"/>
    <w:rsid w:val="6D470DFA"/>
    <w:rsid w:val="6DC04A84"/>
    <w:rsid w:val="6DC54255"/>
    <w:rsid w:val="6DE528D2"/>
    <w:rsid w:val="6E555632"/>
    <w:rsid w:val="6E9815E9"/>
    <w:rsid w:val="6EA335E9"/>
    <w:rsid w:val="6F141E85"/>
    <w:rsid w:val="6F55133C"/>
    <w:rsid w:val="6FB962DE"/>
    <w:rsid w:val="6FBC3E04"/>
    <w:rsid w:val="6FC979EA"/>
    <w:rsid w:val="6FDC31AD"/>
    <w:rsid w:val="6FE932FD"/>
    <w:rsid w:val="70126A78"/>
    <w:rsid w:val="703B78AC"/>
    <w:rsid w:val="707825C8"/>
    <w:rsid w:val="70A353D2"/>
    <w:rsid w:val="71072A6A"/>
    <w:rsid w:val="717164F2"/>
    <w:rsid w:val="71833FD5"/>
    <w:rsid w:val="71E11D6D"/>
    <w:rsid w:val="720C135C"/>
    <w:rsid w:val="724B69D1"/>
    <w:rsid w:val="725A24B9"/>
    <w:rsid w:val="72912FB3"/>
    <w:rsid w:val="72AF2B51"/>
    <w:rsid w:val="72B41A93"/>
    <w:rsid w:val="72F44919"/>
    <w:rsid w:val="73907384"/>
    <w:rsid w:val="73C85CA1"/>
    <w:rsid w:val="73E13CB3"/>
    <w:rsid w:val="748A5DCE"/>
    <w:rsid w:val="749E6B64"/>
    <w:rsid w:val="74F84152"/>
    <w:rsid w:val="75697EEA"/>
    <w:rsid w:val="757C66BC"/>
    <w:rsid w:val="75A4555C"/>
    <w:rsid w:val="75B12D5F"/>
    <w:rsid w:val="75F554CA"/>
    <w:rsid w:val="76027CC5"/>
    <w:rsid w:val="760425B3"/>
    <w:rsid w:val="7619705C"/>
    <w:rsid w:val="76214378"/>
    <w:rsid w:val="7632658C"/>
    <w:rsid w:val="764E59F2"/>
    <w:rsid w:val="76731684"/>
    <w:rsid w:val="767C770E"/>
    <w:rsid w:val="76AE135E"/>
    <w:rsid w:val="76B73757"/>
    <w:rsid w:val="76BC36E7"/>
    <w:rsid w:val="76D05504"/>
    <w:rsid w:val="76EF629F"/>
    <w:rsid w:val="770129F5"/>
    <w:rsid w:val="771342CC"/>
    <w:rsid w:val="772E27C6"/>
    <w:rsid w:val="774F1716"/>
    <w:rsid w:val="77806164"/>
    <w:rsid w:val="778A2798"/>
    <w:rsid w:val="778A7C60"/>
    <w:rsid w:val="778E18FE"/>
    <w:rsid w:val="779516F7"/>
    <w:rsid w:val="77D06BFC"/>
    <w:rsid w:val="77E26FE6"/>
    <w:rsid w:val="77F616DB"/>
    <w:rsid w:val="78524986"/>
    <w:rsid w:val="785565A4"/>
    <w:rsid w:val="78A42DFE"/>
    <w:rsid w:val="78B47FA1"/>
    <w:rsid w:val="78C24153"/>
    <w:rsid w:val="799E38CB"/>
    <w:rsid w:val="7A37787F"/>
    <w:rsid w:val="7A4C63B7"/>
    <w:rsid w:val="7A685BB3"/>
    <w:rsid w:val="7AA62905"/>
    <w:rsid w:val="7AD818CC"/>
    <w:rsid w:val="7AE43C3B"/>
    <w:rsid w:val="7AF7198C"/>
    <w:rsid w:val="7B3D1446"/>
    <w:rsid w:val="7B576044"/>
    <w:rsid w:val="7B6368D6"/>
    <w:rsid w:val="7B844046"/>
    <w:rsid w:val="7BBA5899"/>
    <w:rsid w:val="7BBE12BB"/>
    <w:rsid w:val="7C36080E"/>
    <w:rsid w:val="7CE4532E"/>
    <w:rsid w:val="7D0A6B4F"/>
    <w:rsid w:val="7D495305"/>
    <w:rsid w:val="7D8315DA"/>
    <w:rsid w:val="7DCE30EF"/>
    <w:rsid w:val="7DEA7C18"/>
    <w:rsid w:val="7DF316D6"/>
    <w:rsid w:val="7E2777CB"/>
    <w:rsid w:val="7E637C7D"/>
    <w:rsid w:val="7EC063F5"/>
    <w:rsid w:val="7F544594"/>
    <w:rsid w:val="7F873325"/>
    <w:rsid w:val="7FEE26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0"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iPriority="0" w:semiHidden="0"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link w:val="48"/>
    <w:qFormat/>
    <w:uiPriority w:val="0"/>
    <w:pPr>
      <w:keepNext/>
      <w:keepLines/>
      <w:spacing w:before="340" w:after="330" w:line="578" w:lineRule="auto"/>
      <w:outlineLvl w:val="0"/>
    </w:pPr>
    <w:rPr>
      <w:rFonts w:ascii="Calibri" w:hAnsi="Calibri" w:eastAsia="宋体" w:cs="Times New Roman"/>
      <w:b/>
      <w:bCs/>
      <w:kern w:val="44"/>
      <w:sz w:val="44"/>
      <w:szCs w:val="44"/>
    </w:rPr>
  </w:style>
  <w:style w:type="paragraph" w:styleId="6">
    <w:name w:val="heading 2"/>
    <w:basedOn w:val="1"/>
    <w:next w:val="1"/>
    <w:link w:val="49"/>
    <w:qFormat/>
    <w:uiPriority w:val="0"/>
    <w:pPr>
      <w:jc w:val="center"/>
      <w:outlineLvl w:val="1"/>
    </w:pPr>
    <w:rPr>
      <w:rFonts w:ascii="Calibri" w:hAnsi="Calibri"/>
      <w:szCs w:val="28"/>
    </w:rPr>
  </w:style>
  <w:style w:type="paragraph" w:styleId="7">
    <w:name w:val="heading 3"/>
    <w:basedOn w:val="1"/>
    <w:next w:val="1"/>
    <w:link w:val="50"/>
    <w:qFormat/>
    <w:uiPriority w:val="0"/>
    <w:pPr>
      <w:keepNext/>
      <w:keepLines/>
      <w:spacing w:before="120" w:after="120" w:line="360" w:lineRule="auto"/>
      <w:outlineLvl w:val="2"/>
    </w:pPr>
    <w:rPr>
      <w:rFonts w:ascii="Times New Roman" w:hAnsi="Times New Roman" w:eastAsia="宋体" w:cs="Times New Roman"/>
      <w:b/>
      <w:bCs/>
      <w:kern w:val="0"/>
      <w:sz w:val="28"/>
      <w:szCs w:val="18"/>
    </w:rPr>
  </w:style>
  <w:style w:type="paragraph" w:styleId="8">
    <w:name w:val="heading 4"/>
    <w:basedOn w:val="1"/>
    <w:next w:val="1"/>
    <w:link w:val="51"/>
    <w:qFormat/>
    <w:uiPriority w:val="0"/>
    <w:pPr>
      <w:keepNext/>
      <w:keepLines/>
      <w:spacing w:before="120" w:after="120" w:line="360" w:lineRule="auto"/>
      <w:ind w:left="851" w:hanging="851"/>
      <w:outlineLvl w:val="3"/>
    </w:pPr>
    <w:rPr>
      <w:rFonts w:ascii="Calibri" w:hAnsi="Calibri" w:eastAsia="宋体" w:cs="Times New Roman"/>
      <w:b/>
      <w:bCs/>
      <w:sz w:val="24"/>
      <w:szCs w:val="28"/>
    </w:rPr>
  </w:style>
  <w:style w:type="paragraph" w:styleId="9">
    <w:name w:val="heading 5"/>
    <w:basedOn w:val="1"/>
    <w:next w:val="1"/>
    <w:link w:val="52"/>
    <w:qFormat/>
    <w:uiPriority w:val="0"/>
    <w:pPr>
      <w:keepNext/>
      <w:keepLines/>
      <w:spacing w:before="120" w:after="120" w:line="360" w:lineRule="auto"/>
      <w:ind w:left="992" w:hanging="992"/>
      <w:outlineLvl w:val="4"/>
    </w:pPr>
    <w:rPr>
      <w:rFonts w:ascii="Calibri" w:hAnsi="Calibri" w:eastAsia="宋体" w:cs="Times New Roman"/>
      <w:b/>
      <w:bCs/>
      <w:szCs w:val="28"/>
    </w:rPr>
  </w:style>
  <w:style w:type="paragraph" w:styleId="10">
    <w:name w:val="heading 6"/>
    <w:basedOn w:val="1"/>
    <w:next w:val="1"/>
    <w:link w:val="53"/>
    <w:qFormat/>
    <w:uiPriority w:val="9"/>
    <w:pPr>
      <w:keepNext/>
      <w:keepLines/>
      <w:spacing w:before="240" w:after="64" w:line="320" w:lineRule="auto"/>
      <w:outlineLvl w:val="5"/>
    </w:pPr>
    <w:rPr>
      <w:rFonts w:ascii="Cambria" w:hAnsi="Cambria" w:eastAsia="宋体" w:cs="Times New Roman"/>
      <w:b/>
      <w:bCs/>
      <w:kern w:val="0"/>
      <w:sz w:val="24"/>
      <w:szCs w:val="24"/>
    </w:rPr>
  </w:style>
  <w:style w:type="paragraph" w:styleId="11">
    <w:name w:val="heading 7"/>
    <w:basedOn w:val="1"/>
    <w:next w:val="1"/>
    <w:link w:val="54"/>
    <w:qFormat/>
    <w:uiPriority w:val="9"/>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2">
    <w:name w:val="heading 8"/>
    <w:basedOn w:val="10"/>
    <w:next w:val="1"/>
    <w:link w:val="55"/>
    <w:qFormat/>
    <w:uiPriority w:val="0"/>
    <w:pPr>
      <w:spacing w:before="120" w:after="120" w:line="360" w:lineRule="auto"/>
      <w:outlineLvl w:val="7"/>
    </w:pPr>
    <w:rPr>
      <w:rFonts w:ascii="Times New Roman" w:hAnsi="Times New Roman"/>
      <w:bCs w:val="0"/>
      <w:kern w:val="2"/>
    </w:rPr>
  </w:style>
  <w:style w:type="paragraph" w:styleId="13">
    <w:name w:val="heading 9"/>
    <w:basedOn w:val="1"/>
    <w:next w:val="1"/>
    <w:link w:val="56"/>
    <w:qFormat/>
    <w:uiPriority w:val="9"/>
    <w:pPr>
      <w:keepNext/>
      <w:keepLines/>
      <w:spacing w:before="240" w:after="64" w:line="320" w:lineRule="auto"/>
      <w:outlineLvl w:val="8"/>
    </w:pPr>
    <w:rPr>
      <w:rFonts w:ascii="Cambria" w:hAnsi="Cambria" w:eastAsia="宋体" w:cs="Times New Roman"/>
      <w:kern w:val="0"/>
      <w:sz w:val="2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firstLineChars="200"/>
    </w:pPr>
    <w:rPr>
      <w:rFonts w:ascii="Calibri" w:eastAsia="宋体" w:cs="Calibri"/>
      <w:sz w:val="21"/>
      <w:szCs w:val="21"/>
    </w:rPr>
  </w:style>
  <w:style w:type="paragraph" w:styleId="3">
    <w:name w:val="Body Text Indent"/>
    <w:basedOn w:val="1"/>
    <w:next w:val="4"/>
    <w:link w:val="58"/>
    <w:qFormat/>
    <w:uiPriority w:val="0"/>
    <w:pPr>
      <w:ind w:firstLine="830" w:firstLineChars="352"/>
    </w:pPr>
    <w:rPr>
      <w:rFonts w:ascii="仿宋_GB2312" w:eastAsia="仿宋_GB2312"/>
      <w:sz w:val="32"/>
    </w:rPr>
  </w:style>
  <w:style w:type="paragraph" w:styleId="4">
    <w:name w:val="envelope return"/>
    <w:basedOn w:val="1"/>
    <w:qFormat/>
    <w:uiPriority w:val="0"/>
    <w:pPr>
      <w:snapToGrid w:val="0"/>
    </w:pPr>
    <w:rPr>
      <w:rFonts w:ascii="Arial" w:hAnsi="Arial"/>
    </w:rPr>
  </w:style>
  <w:style w:type="paragraph" w:styleId="14">
    <w:name w:val="toc 7"/>
    <w:basedOn w:val="1"/>
    <w:next w:val="1"/>
    <w:qFormat/>
    <w:uiPriority w:val="0"/>
    <w:pPr>
      <w:ind w:left="1200"/>
    </w:pPr>
    <w:rPr>
      <w:rFonts w:ascii="Calibri" w:hAnsi="Calibri" w:eastAsia="宋体" w:cs="Times New Roman"/>
      <w:sz w:val="18"/>
      <w:szCs w:val="18"/>
    </w:rPr>
  </w:style>
  <w:style w:type="paragraph" w:styleId="15">
    <w:name w:val="Normal Indent"/>
    <w:basedOn w:val="1"/>
    <w:link w:val="59"/>
    <w:unhideWhenUsed/>
    <w:qFormat/>
    <w:uiPriority w:val="0"/>
    <w:pPr>
      <w:ind w:firstLine="420" w:firstLineChars="200"/>
    </w:pPr>
    <w:rPr>
      <w:rFonts w:ascii="Calibri" w:hAnsi="Calibri"/>
    </w:rPr>
  </w:style>
  <w:style w:type="paragraph" w:styleId="16">
    <w:name w:val="caption"/>
    <w:basedOn w:val="1"/>
    <w:next w:val="1"/>
    <w:qFormat/>
    <w:uiPriority w:val="35"/>
    <w:rPr>
      <w:rFonts w:ascii="Cambria" w:hAnsi="Cambria" w:eastAsia="黑体" w:cs="Times New Roman"/>
    </w:rPr>
  </w:style>
  <w:style w:type="paragraph" w:styleId="17">
    <w:name w:val="Document Map"/>
    <w:basedOn w:val="1"/>
    <w:link w:val="121"/>
    <w:unhideWhenUsed/>
    <w:qFormat/>
    <w:uiPriority w:val="99"/>
    <w:rPr>
      <w:rFonts w:ascii="宋体" w:eastAsia="宋体"/>
      <w:sz w:val="18"/>
      <w:szCs w:val="18"/>
    </w:rPr>
  </w:style>
  <w:style w:type="paragraph" w:styleId="18">
    <w:name w:val="annotation text"/>
    <w:basedOn w:val="1"/>
    <w:link w:val="92"/>
    <w:unhideWhenUsed/>
    <w:qFormat/>
    <w:uiPriority w:val="0"/>
    <w:pPr>
      <w:jc w:val="left"/>
    </w:pPr>
  </w:style>
  <w:style w:type="paragraph" w:styleId="19">
    <w:name w:val="Body Text"/>
    <w:basedOn w:val="1"/>
    <w:qFormat/>
    <w:uiPriority w:val="0"/>
    <w:pPr>
      <w:spacing w:line="0" w:lineRule="atLeast"/>
    </w:pPr>
    <w:rPr>
      <w:sz w:val="30"/>
    </w:rPr>
  </w:style>
  <w:style w:type="paragraph" w:styleId="20">
    <w:name w:val="toc 5"/>
    <w:basedOn w:val="1"/>
    <w:next w:val="1"/>
    <w:qFormat/>
    <w:uiPriority w:val="0"/>
    <w:pPr>
      <w:ind w:left="800"/>
    </w:pPr>
    <w:rPr>
      <w:rFonts w:ascii="Calibri" w:hAnsi="Calibri" w:eastAsia="宋体" w:cs="Times New Roman"/>
      <w:sz w:val="18"/>
      <w:szCs w:val="18"/>
    </w:rPr>
  </w:style>
  <w:style w:type="paragraph" w:styleId="21">
    <w:name w:val="toc 3"/>
    <w:basedOn w:val="1"/>
    <w:next w:val="1"/>
    <w:unhideWhenUsed/>
    <w:qFormat/>
    <w:uiPriority w:val="39"/>
    <w:pPr>
      <w:ind w:left="400"/>
    </w:pPr>
    <w:rPr>
      <w:rFonts w:ascii="Calibri" w:hAnsi="Calibri" w:eastAsia="宋体" w:cs="Times New Roman"/>
      <w:iCs/>
    </w:rPr>
  </w:style>
  <w:style w:type="paragraph" w:styleId="22">
    <w:name w:val="Plain Text"/>
    <w:basedOn w:val="1"/>
    <w:link w:val="81"/>
    <w:semiHidden/>
    <w:qFormat/>
    <w:uiPriority w:val="0"/>
    <w:rPr>
      <w:rFonts w:ascii="宋体" w:hAnsi="Courier New" w:eastAsia="宋体" w:cs="Times New Roman"/>
      <w:szCs w:val="21"/>
    </w:rPr>
  </w:style>
  <w:style w:type="paragraph" w:styleId="23">
    <w:name w:val="toc 8"/>
    <w:basedOn w:val="1"/>
    <w:next w:val="1"/>
    <w:qFormat/>
    <w:uiPriority w:val="0"/>
    <w:pPr>
      <w:ind w:left="1400"/>
    </w:pPr>
    <w:rPr>
      <w:rFonts w:ascii="Calibri" w:hAnsi="Calibri" w:eastAsia="宋体" w:cs="Times New Roman"/>
      <w:sz w:val="18"/>
      <w:szCs w:val="18"/>
    </w:rPr>
  </w:style>
  <w:style w:type="paragraph" w:styleId="24">
    <w:name w:val="Date"/>
    <w:basedOn w:val="1"/>
    <w:next w:val="1"/>
    <w:link w:val="86"/>
    <w:qFormat/>
    <w:uiPriority w:val="0"/>
    <w:pPr>
      <w:adjustRightInd w:val="0"/>
      <w:spacing w:line="360" w:lineRule="atLeast"/>
    </w:pPr>
    <w:rPr>
      <w:rFonts w:ascii="宋体"/>
      <w:sz w:val="24"/>
    </w:rPr>
  </w:style>
  <w:style w:type="paragraph" w:styleId="25">
    <w:name w:val="Balloon Text"/>
    <w:basedOn w:val="1"/>
    <w:link w:val="68"/>
    <w:qFormat/>
    <w:uiPriority w:val="0"/>
    <w:rPr>
      <w:rFonts w:ascii="Calibri" w:hAnsi="Calibri"/>
      <w:sz w:val="18"/>
      <w:szCs w:val="18"/>
    </w:rPr>
  </w:style>
  <w:style w:type="paragraph" w:styleId="26">
    <w:name w:val="footer"/>
    <w:basedOn w:val="1"/>
    <w:link w:val="47"/>
    <w:unhideWhenUsed/>
    <w:qFormat/>
    <w:uiPriority w:val="99"/>
    <w:pPr>
      <w:tabs>
        <w:tab w:val="center" w:pos="4153"/>
        <w:tab w:val="right" w:pos="8306"/>
      </w:tabs>
      <w:snapToGrid w:val="0"/>
      <w:jc w:val="left"/>
    </w:pPr>
    <w:rPr>
      <w:sz w:val="18"/>
      <w:szCs w:val="18"/>
    </w:rPr>
  </w:style>
  <w:style w:type="paragraph" w:styleId="27">
    <w:name w:val="header"/>
    <w:basedOn w:val="1"/>
    <w:link w:val="4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unhideWhenUsed/>
    <w:qFormat/>
    <w:uiPriority w:val="39"/>
    <w:pPr>
      <w:tabs>
        <w:tab w:val="right" w:leader="dot" w:pos="9436"/>
      </w:tabs>
      <w:spacing w:before="120" w:after="120"/>
      <w:ind w:left="2" w:leftChars="1" w:firstLine="423" w:firstLineChars="151"/>
      <w:jc w:val="left"/>
    </w:pPr>
    <w:rPr>
      <w:rFonts w:ascii="宋体" w:hAnsi="宋体" w:eastAsia="宋体" w:cs="新宋体"/>
      <w:bCs/>
      <w:caps/>
      <w:kern w:val="0"/>
      <w:sz w:val="28"/>
    </w:rPr>
  </w:style>
  <w:style w:type="paragraph" w:styleId="29">
    <w:name w:val="toc 4"/>
    <w:basedOn w:val="1"/>
    <w:next w:val="1"/>
    <w:qFormat/>
    <w:uiPriority w:val="0"/>
    <w:pPr>
      <w:ind w:left="600"/>
    </w:pPr>
    <w:rPr>
      <w:rFonts w:ascii="Calibri" w:hAnsi="Calibri" w:eastAsia="宋体" w:cs="Times New Roman"/>
      <w:sz w:val="18"/>
      <w:szCs w:val="18"/>
    </w:rPr>
  </w:style>
  <w:style w:type="paragraph" w:styleId="30">
    <w:name w:val="Subtitle"/>
    <w:basedOn w:val="1"/>
    <w:next w:val="1"/>
    <w:link w:val="87"/>
    <w:qFormat/>
    <w:uiPriority w:val="11"/>
    <w:pPr>
      <w:spacing w:before="240" w:after="60" w:line="312" w:lineRule="auto"/>
      <w:jc w:val="center"/>
      <w:outlineLvl w:val="1"/>
    </w:pPr>
    <w:rPr>
      <w:rFonts w:ascii="Cambria" w:hAnsi="Cambria"/>
      <w:b/>
      <w:bCs/>
      <w:kern w:val="28"/>
      <w:sz w:val="32"/>
      <w:szCs w:val="32"/>
    </w:rPr>
  </w:style>
  <w:style w:type="paragraph" w:styleId="31">
    <w:name w:val="toc 6"/>
    <w:basedOn w:val="1"/>
    <w:next w:val="1"/>
    <w:qFormat/>
    <w:uiPriority w:val="0"/>
    <w:pPr>
      <w:ind w:left="1000"/>
    </w:pPr>
    <w:rPr>
      <w:rFonts w:ascii="Calibri" w:hAnsi="Calibri" w:eastAsia="宋体" w:cs="Times New Roman"/>
      <w:sz w:val="18"/>
      <w:szCs w:val="18"/>
    </w:rPr>
  </w:style>
  <w:style w:type="paragraph" w:styleId="32">
    <w:name w:val="toc 2"/>
    <w:basedOn w:val="1"/>
    <w:next w:val="1"/>
    <w:unhideWhenUsed/>
    <w:qFormat/>
    <w:uiPriority w:val="39"/>
    <w:pPr>
      <w:ind w:left="200" w:leftChars="200"/>
    </w:pPr>
    <w:rPr>
      <w:rFonts w:ascii="Calibri" w:hAnsi="Calibri" w:eastAsia="宋体" w:cs="Times New Roman"/>
      <w:smallCaps/>
      <w:kern w:val="0"/>
      <w:sz w:val="28"/>
    </w:rPr>
  </w:style>
  <w:style w:type="paragraph" w:styleId="33">
    <w:name w:val="toc 9"/>
    <w:basedOn w:val="1"/>
    <w:next w:val="1"/>
    <w:qFormat/>
    <w:uiPriority w:val="0"/>
    <w:pPr>
      <w:ind w:left="1600"/>
    </w:pPr>
    <w:rPr>
      <w:rFonts w:ascii="Calibri" w:hAnsi="Calibri" w:eastAsia="宋体" w:cs="Times New Roman"/>
      <w:sz w:val="18"/>
      <w:szCs w:val="18"/>
    </w:rPr>
  </w:style>
  <w:style w:type="paragraph" w:styleId="34">
    <w:name w:val="Normal (Web)"/>
    <w:basedOn w:val="1"/>
    <w:qFormat/>
    <w:uiPriority w:val="0"/>
    <w:rPr>
      <w:rFonts w:ascii="Calibri" w:hAnsi="Calibri" w:eastAsia="宋体" w:cs="Times New Roman"/>
      <w:sz w:val="24"/>
      <w:szCs w:val="24"/>
    </w:rPr>
  </w:style>
  <w:style w:type="paragraph" w:styleId="35">
    <w:name w:val="Title"/>
    <w:basedOn w:val="1"/>
    <w:next w:val="1"/>
    <w:link w:val="74"/>
    <w:qFormat/>
    <w:uiPriority w:val="10"/>
    <w:pPr>
      <w:spacing w:before="240" w:after="60" w:line="960" w:lineRule="auto"/>
      <w:jc w:val="center"/>
    </w:pPr>
    <w:rPr>
      <w:rFonts w:ascii="Cambria" w:hAnsi="Cambria" w:eastAsia="黑体"/>
      <w:b/>
      <w:bCs/>
      <w:sz w:val="52"/>
      <w:szCs w:val="32"/>
    </w:rPr>
  </w:style>
  <w:style w:type="paragraph" w:styleId="36">
    <w:name w:val="annotation subject"/>
    <w:basedOn w:val="18"/>
    <w:next w:val="18"/>
    <w:link w:val="93"/>
    <w:semiHidden/>
    <w:qFormat/>
    <w:uiPriority w:val="0"/>
    <w:rPr>
      <w:rFonts w:ascii="Calibri" w:hAnsi="Calibri" w:eastAsia="宋体" w:cs="Times New Roman"/>
      <w:b/>
      <w:bCs/>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qFormat/>
    <w:uiPriority w:val="22"/>
    <w:rPr>
      <w:b/>
      <w:bCs/>
    </w:rPr>
  </w:style>
  <w:style w:type="character" w:styleId="41">
    <w:name w:val="page number"/>
    <w:qFormat/>
    <w:uiPriority w:val="0"/>
  </w:style>
  <w:style w:type="character" w:styleId="42">
    <w:name w:val="FollowedHyperlink"/>
    <w:basedOn w:val="39"/>
    <w:unhideWhenUsed/>
    <w:qFormat/>
    <w:uiPriority w:val="99"/>
    <w:rPr>
      <w:color w:val="666666"/>
      <w:u w:val="none"/>
    </w:rPr>
  </w:style>
  <w:style w:type="character" w:styleId="43">
    <w:name w:val="Emphasis"/>
    <w:qFormat/>
    <w:uiPriority w:val="20"/>
    <w:rPr>
      <w:i/>
      <w:iCs/>
    </w:rPr>
  </w:style>
  <w:style w:type="character" w:styleId="44">
    <w:name w:val="Hyperlink"/>
    <w:basedOn w:val="39"/>
    <w:unhideWhenUsed/>
    <w:qFormat/>
    <w:uiPriority w:val="99"/>
    <w:rPr>
      <w:color w:val="666666"/>
      <w:u w:val="none"/>
    </w:rPr>
  </w:style>
  <w:style w:type="character" w:styleId="45">
    <w:name w:val="annotation reference"/>
    <w:semiHidden/>
    <w:qFormat/>
    <w:uiPriority w:val="0"/>
    <w:rPr>
      <w:sz w:val="21"/>
      <w:szCs w:val="21"/>
    </w:rPr>
  </w:style>
  <w:style w:type="character" w:customStyle="1" w:styleId="46">
    <w:name w:val="页眉 Char"/>
    <w:basedOn w:val="39"/>
    <w:link w:val="27"/>
    <w:qFormat/>
    <w:uiPriority w:val="0"/>
    <w:rPr>
      <w:sz w:val="18"/>
      <w:szCs w:val="18"/>
    </w:rPr>
  </w:style>
  <w:style w:type="character" w:customStyle="1" w:styleId="47">
    <w:name w:val="页脚 Char"/>
    <w:basedOn w:val="39"/>
    <w:link w:val="26"/>
    <w:qFormat/>
    <w:uiPriority w:val="99"/>
    <w:rPr>
      <w:sz w:val="18"/>
      <w:szCs w:val="18"/>
    </w:rPr>
  </w:style>
  <w:style w:type="character" w:customStyle="1" w:styleId="48">
    <w:name w:val="标题 1 Char"/>
    <w:basedOn w:val="39"/>
    <w:link w:val="5"/>
    <w:qFormat/>
    <w:uiPriority w:val="0"/>
    <w:rPr>
      <w:rFonts w:ascii="Calibri" w:hAnsi="Calibri" w:eastAsia="宋体" w:cs="Times New Roman"/>
      <w:b/>
      <w:bCs/>
      <w:kern w:val="44"/>
      <w:sz w:val="44"/>
      <w:szCs w:val="44"/>
    </w:rPr>
  </w:style>
  <w:style w:type="character" w:customStyle="1" w:styleId="49">
    <w:name w:val="标题 2 Char"/>
    <w:basedOn w:val="39"/>
    <w:link w:val="6"/>
    <w:qFormat/>
    <w:uiPriority w:val="0"/>
    <w:rPr>
      <w:rFonts w:ascii="Calibri" w:hAnsi="Calibri" w:eastAsia="宋体" w:cs="Times New Roman"/>
      <w:b/>
      <w:bCs/>
      <w:sz w:val="28"/>
      <w:szCs w:val="28"/>
    </w:rPr>
  </w:style>
  <w:style w:type="character" w:customStyle="1" w:styleId="50">
    <w:name w:val="标题 3 Char"/>
    <w:basedOn w:val="39"/>
    <w:link w:val="7"/>
    <w:qFormat/>
    <w:uiPriority w:val="0"/>
    <w:rPr>
      <w:rFonts w:ascii="Times New Roman" w:hAnsi="Times New Roman" w:eastAsia="宋体" w:cs="Times New Roman"/>
      <w:b/>
      <w:bCs/>
      <w:kern w:val="0"/>
      <w:sz w:val="28"/>
      <w:szCs w:val="18"/>
    </w:rPr>
  </w:style>
  <w:style w:type="character" w:customStyle="1" w:styleId="51">
    <w:name w:val="标题 4 Char"/>
    <w:basedOn w:val="39"/>
    <w:link w:val="8"/>
    <w:qFormat/>
    <w:uiPriority w:val="0"/>
    <w:rPr>
      <w:rFonts w:ascii="Calibri" w:hAnsi="Calibri" w:eastAsia="宋体" w:cs="Times New Roman"/>
      <w:b/>
      <w:bCs/>
      <w:sz w:val="24"/>
      <w:szCs w:val="28"/>
    </w:rPr>
  </w:style>
  <w:style w:type="character" w:customStyle="1" w:styleId="52">
    <w:name w:val="标题 5 Char"/>
    <w:basedOn w:val="39"/>
    <w:link w:val="9"/>
    <w:qFormat/>
    <w:uiPriority w:val="0"/>
    <w:rPr>
      <w:rFonts w:ascii="Calibri" w:hAnsi="Calibri" w:eastAsia="宋体" w:cs="Times New Roman"/>
      <w:b/>
      <w:bCs/>
      <w:szCs w:val="28"/>
    </w:rPr>
  </w:style>
  <w:style w:type="character" w:customStyle="1" w:styleId="53">
    <w:name w:val="标题 6 Char"/>
    <w:basedOn w:val="39"/>
    <w:link w:val="10"/>
    <w:qFormat/>
    <w:uiPriority w:val="9"/>
    <w:rPr>
      <w:rFonts w:ascii="Cambria" w:hAnsi="Cambria" w:eastAsia="宋体" w:cs="Times New Roman"/>
      <w:b/>
      <w:bCs/>
      <w:kern w:val="0"/>
      <w:sz w:val="24"/>
      <w:szCs w:val="24"/>
    </w:rPr>
  </w:style>
  <w:style w:type="character" w:customStyle="1" w:styleId="54">
    <w:name w:val="标题 7 Char"/>
    <w:basedOn w:val="39"/>
    <w:link w:val="11"/>
    <w:qFormat/>
    <w:uiPriority w:val="9"/>
    <w:rPr>
      <w:rFonts w:ascii="Times New Roman" w:hAnsi="Times New Roman" w:eastAsia="宋体" w:cs="Times New Roman"/>
      <w:b/>
      <w:bCs/>
      <w:kern w:val="0"/>
      <w:sz w:val="24"/>
      <w:szCs w:val="24"/>
    </w:rPr>
  </w:style>
  <w:style w:type="character" w:customStyle="1" w:styleId="55">
    <w:name w:val="标题 8 Char"/>
    <w:basedOn w:val="39"/>
    <w:link w:val="12"/>
    <w:qFormat/>
    <w:uiPriority w:val="0"/>
    <w:rPr>
      <w:rFonts w:ascii="Times New Roman" w:hAnsi="Times New Roman" w:eastAsia="宋体" w:cs="Times New Roman"/>
      <w:b/>
      <w:sz w:val="24"/>
      <w:szCs w:val="24"/>
    </w:rPr>
  </w:style>
  <w:style w:type="character" w:customStyle="1" w:styleId="56">
    <w:name w:val="标题 9 Char"/>
    <w:basedOn w:val="39"/>
    <w:link w:val="13"/>
    <w:qFormat/>
    <w:uiPriority w:val="9"/>
    <w:rPr>
      <w:rFonts w:ascii="Cambria" w:hAnsi="Cambria" w:eastAsia="宋体" w:cs="Times New Roman"/>
      <w:kern w:val="0"/>
      <w:sz w:val="20"/>
      <w:szCs w:val="21"/>
    </w:rPr>
  </w:style>
  <w:style w:type="character" w:customStyle="1" w:styleId="57">
    <w:name w:val="明显参考1"/>
    <w:qFormat/>
    <w:uiPriority w:val="32"/>
    <w:rPr>
      <w:b/>
      <w:bCs/>
      <w:smallCaps/>
      <w:color w:val="C0504D"/>
      <w:spacing w:val="5"/>
      <w:u w:val="single"/>
    </w:rPr>
  </w:style>
  <w:style w:type="character" w:customStyle="1" w:styleId="58">
    <w:name w:val="正文文本缩进 Char"/>
    <w:link w:val="3"/>
    <w:qFormat/>
    <w:uiPriority w:val="0"/>
    <w:rPr>
      <w:rFonts w:ascii="仿宋_GB2312" w:eastAsia="仿宋_GB2312"/>
      <w:sz w:val="32"/>
    </w:rPr>
  </w:style>
  <w:style w:type="character" w:customStyle="1" w:styleId="59">
    <w:name w:val="正文缩进 Char"/>
    <w:link w:val="15"/>
    <w:qFormat/>
    <w:uiPriority w:val="0"/>
    <w:rPr>
      <w:rFonts w:ascii="Calibri" w:hAnsi="Calibri"/>
    </w:rPr>
  </w:style>
  <w:style w:type="character" w:customStyle="1" w:styleId="60">
    <w:name w:val="纯文本 Char1"/>
    <w:semiHidden/>
    <w:qFormat/>
    <w:locked/>
    <w:uiPriority w:val="0"/>
    <w:rPr>
      <w:rFonts w:ascii="宋体" w:hAnsi="Courier New" w:eastAsia="等线" w:cs="Times New Roman"/>
      <w:kern w:val="2"/>
      <w:sz w:val="21"/>
      <w:szCs w:val="21"/>
    </w:rPr>
  </w:style>
  <w:style w:type="character" w:customStyle="1" w:styleId="61">
    <w:name w:val="引用 Char"/>
    <w:link w:val="62"/>
    <w:qFormat/>
    <w:uiPriority w:val="29"/>
    <w:rPr>
      <w:i/>
      <w:iCs/>
      <w:color w:val="000000"/>
      <w:szCs w:val="24"/>
    </w:rPr>
  </w:style>
  <w:style w:type="paragraph" w:customStyle="1" w:styleId="62">
    <w:name w:val="引用1"/>
    <w:basedOn w:val="1"/>
    <w:next w:val="1"/>
    <w:link w:val="61"/>
    <w:qFormat/>
    <w:uiPriority w:val="29"/>
    <w:rPr>
      <w:i/>
      <w:iCs/>
      <w:color w:val="000000"/>
      <w:szCs w:val="24"/>
    </w:rPr>
  </w:style>
  <w:style w:type="character" w:customStyle="1" w:styleId="63">
    <w:name w:val="需求样式 Char"/>
    <w:link w:val="64"/>
    <w:qFormat/>
    <w:uiPriority w:val="0"/>
    <w:rPr>
      <w:b/>
      <w:bCs/>
      <w:kern w:val="44"/>
      <w:sz w:val="32"/>
      <w:szCs w:val="28"/>
    </w:rPr>
  </w:style>
  <w:style w:type="paragraph" w:customStyle="1" w:styleId="64">
    <w:name w:val="需求样式"/>
    <w:basedOn w:val="5"/>
    <w:link w:val="63"/>
    <w:qFormat/>
    <w:uiPriority w:val="0"/>
    <w:pPr>
      <w:spacing w:before="120" w:after="120" w:line="360" w:lineRule="auto"/>
      <w:ind w:left="425" w:hanging="425"/>
    </w:pPr>
    <w:rPr>
      <w:rFonts w:asciiTheme="minorHAnsi" w:hAnsiTheme="minorHAnsi" w:eastAsiaTheme="minorEastAsia" w:cstheme="minorBidi"/>
      <w:sz w:val="32"/>
      <w:szCs w:val="28"/>
    </w:rPr>
  </w:style>
  <w:style w:type="character" w:customStyle="1" w:styleId="65">
    <w:name w:val="标题 3 Char_0_0"/>
    <w:link w:val="66"/>
    <w:qFormat/>
    <w:uiPriority w:val="0"/>
    <w:rPr>
      <w:rFonts w:ascii="宋体" w:hAnsi="宋体"/>
      <w:b/>
      <w:sz w:val="28"/>
      <w:szCs w:val="28"/>
    </w:rPr>
  </w:style>
  <w:style w:type="paragraph" w:customStyle="1" w:styleId="66">
    <w:name w:val="标题 3_0_0"/>
    <w:basedOn w:val="67"/>
    <w:next w:val="67"/>
    <w:link w:val="65"/>
    <w:qFormat/>
    <w:uiPriority w:val="0"/>
    <w:pPr>
      <w:widowControl w:val="0"/>
      <w:autoSpaceDE w:val="0"/>
      <w:autoSpaceDN w:val="0"/>
      <w:adjustRightInd w:val="0"/>
      <w:spacing w:before="0" w:after="0" w:line="500" w:lineRule="exact"/>
      <w:ind w:left="0" w:firstLine="0"/>
      <w:jc w:val="center"/>
      <w:outlineLvl w:val="2"/>
    </w:pPr>
    <w:rPr>
      <w:rFonts w:ascii="宋体" w:hAnsi="宋体" w:eastAsiaTheme="minorEastAsia" w:cstheme="minorBidi"/>
      <w:b/>
      <w:sz w:val="28"/>
      <w:szCs w:val="28"/>
    </w:rPr>
  </w:style>
  <w:style w:type="paragraph" w:customStyle="1" w:styleId="67">
    <w:name w:val="正文_1_0"/>
    <w:qFormat/>
    <w:uiPriority w:val="0"/>
    <w:pPr>
      <w:spacing w:before="120" w:after="120" w:line="360" w:lineRule="auto"/>
      <w:ind w:left="1639" w:hanging="1072"/>
      <w:jc w:val="both"/>
    </w:pPr>
    <w:rPr>
      <w:rFonts w:ascii="Calibri" w:hAnsi="Calibri" w:eastAsia="宋体" w:cs="Times New Roman"/>
      <w:kern w:val="2"/>
      <w:sz w:val="21"/>
      <w:szCs w:val="22"/>
      <w:lang w:val="en-US" w:eastAsia="zh-CN" w:bidi="ar-SA"/>
    </w:rPr>
  </w:style>
  <w:style w:type="character" w:customStyle="1" w:styleId="68">
    <w:name w:val="批注框文本 Char"/>
    <w:link w:val="25"/>
    <w:qFormat/>
    <w:uiPriority w:val="0"/>
    <w:rPr>
      <w:rFonts w:ascii="Calibri" w:hAnsi="Calibri"/>
      <w:sz w:val="18"/>
      <w:szCs w:val="18"/>
    </w:rPr>
  </w:style>
  <w:style w:type="character" w:customStyle="1" w:styleId="69">
    <w:name w:val="正文缩进 Char_0"/>
    <w:link w:val="70"/>
    <w:qFormat/>
    <w:uiPriority w:val="0"/>
    <w:rPr>
      <w:rFonts w:ascii="Calibri" w:hAnsi="Calibri" w:eastAsia="宋体" w:cs="Times New Roman"/>
    </w:rPr>
  </w:style>
  <w:style w:type="paragraph" w:customStyle="1" w:styleId="70">
    <w:name w:val="正文缩进_0"/>
    <w:basedOn w:val="71"/>
    <w:link w:val="69"/>
    <w:unhideWhenUsed/>
    <w:qFormat/>
    <w:uiPriority w:val="0"/>
    <w:pPr>
      <w:ind w:firstLine="420" w:firstLineChars="200"/>
    </w:pPr>
    <w:rPr>
      <w:rFonts w:ascii="Calibri" w:hAnsi="Calibri"/>
      <w:szCs w:val="22"/>
    </w:rPr>
  </w:style>
  <w:style w:type="paragraph" w:customStyle="1" w:styleId="71">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明显引用 Char"/>
    <w:link w:val="73"/>
    <w:qFormat/>
    <w:uiPriority w:val="30"/>
    <w:rPr>
      <w:b/>
      <w:bCs/>
      <w:i/>
      <w:iCs/>
      <w:color w:val="4F81BD"/>
      <w:szCs w:val="24"/>
    </w:rPr>
  </w:style>
  <w:style w:type="paragraph" w:customStyle="1" w:styleId="73">
    <w:name w:val="明显引用1"/>
    <w:basedOn w:val="1"/>
    <w:next w:val="1"/>
    <w:link w:val="72"/>
    <w:qFormat/>
    <w:uiPriority w:val="30"/>
    <w:pPr>
      <w:pBdr>
        <w:bottom w:val="single" w:color="4F81BD" w:sz="4" w:space="4"/>
      </w:pBdr>
      <w:spacing w:before="200" w:after="280"/>
      <w:ind w:left="936" w:right="936"/>
    </w:pPr>
    <w:rPr>
      <w:b/>
      <w:bCs/>
      <w:i/>
      <w:iCs/>
      <w:color w:val="4F81BD"/>
      <w:szCs w:val="24"/>
    </w:rPr>
  </w:style>
  <w:style w:type="character" w:customStyle="1" w:styleId="74">
    <w:name w:val="标题 Char"/>
    <w:link w:val="35"/>
    <w:qFormat/>
    <w:uiPriority w:val="10"/>
    <w:rPr>
      <w:rFonts w:ascii="Cambria" w:hAnsi="Cambria" w:eastAsia="黑体"/>
      <w:b/>
      <w:bCs/>
      <w:sz w:val="52"/>
      <w:szCs w:val="32"/>
    </w:rPr>
  </w:style>
  <w:style w:type="character" w:customStyle="1" w:styleId="75">
    <w:name w:val="标题 3 Char_0"/>
    <w:link w:val="76"/>
    <w:qFormat/>
    <w:uiPriority w:val="0"/>
    <w:rPr>
      <w:rFonts w:ascii="宋体" w:hAnsi="宋体"/>
      <w:b/>
      <w:sz w:val="32"/>
      <w:szCs w:val="32"/>
    </w:rPr>
  </w:style>
  <w:style w:type="paragraph" w:customStyle="1" w:styleId="76">
    <w:name w:val="标题 3_0"/>
    <w:basedOn w:val="77"/>
    <w:next w:val="77"/>
    <w:link w:val="75"/>
    <w:qFormat/>
    <w:uiPriority w:val="0"/>
    <w:pPr>
      <w:adjustRightInd w:val="0"/>
      <w:snapToGrid w:val="0"/>
      <w:spacing w:line="500" w:lineRule="exact"/>
      <w:ind w:left="0" w:firstLine="0"/>
      <w:jc w:val="center"/>
      <w:outlineLvl w:val="2"/>
    </w:pPr>
    <w:rPr>
      <w:rFonts w:ascii="宋体" w:hAnsi="宋体" w:eastAsiaTheme="minorEastAsia" w:cstheme="minorBidi"/>
      <w:b/>
      <w:sz w:val="32"/>
      <w:szCs w:val="32"/>
    </w:rPr>
  </w:style>
  <w:style w:type="paragraph" w:customStyle="1" w:styleId="77">
    <w:name w:val="正文_0_0"/>
    <w:qFormat/>
    <w:uiPriority w:val="0"/>
    <w:pPr>
      <w:spacing w:before="120" w:after="120" w:line="360" w:lineRule="auto"/>
      <w:ind w:left="1072" w:hanging="1072"/>
      <w:jc w:val="both"/>
    </w:pPr>
    <w:rPr>
      <w:rFonts w:ascii="Calibri" w:hAnsi="Calibri" w:eastAsia="宋体" w:cs="Times New Roman"/>
      <w:kern w:val="2"/>
      <w:sz w:val="28"/>
      <w:szCs w:val="22"/>
      <w:lang w:val="en-US" w:eastAsia="zh-CN" w:bidi="ar-SA"/>
    </w:rPr>
  </w:style>
  <w:style w:type="character" w:customStyle="1" w:styleId="78">
    <w:name w:val="无间隔 Char"/>
    <w:link w:val="79"/>
    <w:qFormat/>
    <w:uiPriority w:val="1"/>
    <w:rPr>
      <w:szCs w:val="24"/>
    </w:rPr>
  </w:style>
  <w:style w:type="paragraph" w:customStyle="1" w:styleId="79">
    <w:name w:val="无间隔1"/>
    <w:link w:val="78"/>
    <w:qFormat/>
    <w:uiPriority w:val="1"/>
    <w:pPr>
      <w:widowControl w:val="0"/>
      <w:jc w:val="both"/>
    </w:pPr>
    <w:rPr>
      <w:rFonts w:asciiTheme="minorHAnsi" w:hAnsiTheme="minorHAnsi" w:eastAsiaTheme="minorEastAsia" w:cstheme="minorBidi"/>
      <w:kern w:val="2"/>
      <w:sz w:val="21"/>
      <w:szCs w:val="24"/>
      <w:lang w:val="en-US" w:eastAsia="zh-CN" w:bidi="ar-SA"/>
    </w:rPr>
  </w:style>
  <w:style w:type="character" w:customStyle="1" w:styleId="80">
    <w:name w:val="书籍标题1"/>
    <w:qFormat/>
    <w:uiPriority w:val="33"/>
    <w:rPr>
      <w:b/>
      <w:bCs/>
      <w:smallCaps/>
      <w:spacing w:val="5"/>
    </w:rPr>
  </w:style>
  <w:style w:type="character" w:customStyle="1" w:styleId="81">
    <w:name w:val="纯文本 Char"/>
    <w:link w:val="22"/>
    <w:semiHidden/>
    <w:qFormat/>
    <w:uiPriority w:val="0"/>
    <w:rPr>
      <w:rFonts w:ascii="宋体" w:hAnsi="Courier New" w:eastAsia="宋体" w:cs="Times New Roman"/>
      <w:szCs w:val="21"/>
    </w:rPr>
  </w:style>
  <w:style w:type="character" w:customStyle="1" w:styleId="82">
    <w:name w:val="标题 2 Char_0"/>
    <w:link w:val="83"/>
    <w:qFormat/>
    <w:uiPriority w:val="0"/>
    <w:rPr>
      <w:rFonts w:ascii="Calibri Light" w:hAnsi="Calibri Light" w:eastAsia="宋体" w:cs="Times New Roman"/>
      <w:b/>
      <w:bCs/>
      <w:sz w:val="32"/>
      <w:szCs w:val="32"/>
    </w:rPr>
  </w:style>
  <w:style w:type="paragraph" w:customStyle="1" w:styleId="83">
    <w:name w:val="标题 2_0"/>
    <w:basedOn w:val="77"/>
    <w:next w:val="77"/>
    <w:link w:val="82"/>
    <w:qFormat/>
    <w:uiPriority w:val="0"/>
    <w:pPr>
      <w:keepNext/>
      <w:keepLines/>
      <w:spacing w:before="260" w:after="260" w:line="416" w:lineRule="auto"/>
      <w:ind w:left="0" w:firstLine="0"/>
      <w:jc w:val="center"/>
      <w:outlineLvl w:val="1"/>
    </w:pPr>
    <w:rPr>
      <w:rFonts w:ascii="Calibri Light" w:hAnsi="Calibri Light"/>
      <w:b/>
      <w:bCs/>
      <w:sz w:val="32"/>
      <w:szCs w:val="32"/>
    </w:rPr>
  </w:style>
  <w:style w:type="character" w:customStyle="1" w:styleId="84">
    <w:name w:val="不明显参考1"/>
    <w:qFormat/>
    <w:uiPriority w:val="31"/>
    <w:rPr>
      <w:smallCaps/>
      <w:color w:val="C0504D"/>
      <w:u w:val="single"/>
    </w:rPr>
  </w:style>
  <w:style w:type="character" w:customStyle="1" w:styleId="85">
    <w:name w:val="不明显强调1"/>
    <w:qFormat/>
    <w:uiPriority w:val="19"/>
    <w:rPr>
      <w:i/>
      <w:iCs/>
      <w:color w:val="808080"/>
    </w:rPr>
  </w:style>
  <w:style w:type="character" w:customStyle="1" w:styleId="86">
    <w:name w:val="日期 Char"/>
    <w:link w:val="24"/>
    <w:qFormat/>
    <w:uiPriority w:val="0"/>
    <w:rPr>
      <w:rFonts w:ascii="宋体"/>
      <w:sz w:val="24"/>
    </w:rPr>
  </w:style>
  <w:style w:type="character" w:customStyle="1" w:styleId="87">
    <w:name w:val="副标题 Char"/>
    <w:link w:val="30"/>
    <w:qFormat/>
    <w:uiPriority w:val="11"/>
    <w:rPr>
      <w:rFonts w:ascii="Cambria" w:hAnsi="Cambria"/>
      <w:b/>
      <w:bCs/>
      <w:kern w:val="28"/>
      <w:sz w:val="32"/>
      <w:szCs w:val="32"/>
    </w:rPr>
  </w:style>
  <w:style w:type="character" w:customStyle="1" w:styleId="88">
    <w:name w:val="明显强调1"/>
    <w:qFormat/>
    <w:uiPriority w:val="21"/>
    <w:rPr>
      <w:b/>
      <w:bCs/>
      <w:i/>
      <w:iCs/>
      <w:color w:val="4F81BD"/>
    </w:rPr>
  </w:style>
  <w:style w:type="character" w:customStyle="1" w:styleId="89">
    <w:name w:val="正文文本缩进 Char1"/>
    <w:basedOn w:val="39"/>
    <w:semiHidden/>
    <w:qFormat/>
    <w:uiPriority w:val="99"/>
  </w:style>
  <w:style w:type="character" w:customStyle="1" w:styleId="90">
    <w:name w:val="批注框文本 Char1"/>
    <w:basedOn w:val="39"/>
    <w:semiHidden/>
    <w:qFormat/>
    <w:uiPriority w:val="99"/>
    <w:rPr>
      <w:sz w:val="18"/>
      <w:szCs w:val="18"/>
    </w:rPr>
  </w:style>
  <w:style w:type="character" w:customStyle="1" w:styleId="91">
    <w:name w:val="日期 Char1"/>
    <w:basedOn w:val="39"/>
    <w:semiHidden/>
    <w:qFormat/>
    <w:uiPriority w:val="99"/>
  </w:style>
  <w:style w:type="character" w:customStyle="1" w:styleId="92">
    <w:name w:val="批注文字 Char"/>
    <w:basedOn w:val="39"/>
    <w:link w:val="18"/>
    <w:qFormat/>
    <w:uiPriority w:val="99"/>
  </w:style>
  <w:style w:type="character" w:customStyle="1" w:styleId="93">
    <w:name w:val="批注主题 Char"/>
    <w:basedOn w:val="92"/>
    <w:link w:val="36"/>
    <w:semiHidden/>
    <w:qFormat/>
    <w:uiPriority w:val="0"/>
    <w:rPr>
      <w:rFonts w:ascii="Calibri" w:hAnsi="Calibri" w:eastAsia="宋体" w:cs="Times New Roman"/>
      <w:b/>
      <w:bCs/>
    </w:rPr>
  </w:style>
  <w:style w:type="character" w:customStyle="1" w:styleId="94">
    <w:name w:val="副标题 Char1"/>
    <w:basedOn w:val="39"/>
    <w:qFormat/>
    <w:uiPriority w:val="11"/>
    <w:rPr>
      <w:rFonts w:eastAsia="宋体" w:asciiTheme="majorHAnsi" w:hAnsiTheme="majorHAnsi" w:cstheme="majorBidi"/>
      <w:b/>
      <w:bCs/>
      <w:kern w:val="28"/>
      <w:sz w:val="32"/>
      <w:szCs w:val="32"/>
    </w:rPr>
  </w:style>
  <w:style w:type="character" w:customStyle="1" w:styleId="95">
    <w:name w:val="纯文本 Char2"/>
    <w:basedOn w:val="39"/>
    <w:semiHidden/>
    <w:qFormat/>
    <w:uiPriority w:val="99"/>
    <w:rPr>
      <w:rFonts w:ascii="宋体" w:hAnsi="Courier New" w:eastAsia="宋体" w:cs="Courier New"/>
      <w:szCs w:val="21"/>
    </w:rPr>
  </w:style>
  <w:style w:type="character" w:customStyle="1" w:styleId="96">
    <w:name w:val="标题 Char1"/>
    <w:basedOn w:val="39"/>
    <w:qFormat/>
    <w:uiPriority w:val="10"/>
    <w:rPr>
      <w:rFonts w:eastAsia="宋体" w:asciiTheme="majorHAnsi" w:hAnsiTheme="majorHAnsi" w:cstheme="majorBidi"/>
      <w:b/>
      <w:bCs/>
      <w:sz w:val="32"/>
      <w:szCs w:val="32"/>
    </w:rPr>
  </w:style>
  <w:style w:type="paragraph" w:customStyle="1" w:styleId="97">
    <w:name w:val="正文1"/>
    <w:qFormat/>
    <w:uiPriority w:val="0"/>
    <w:rPr>
      <w:rFonts w:ascii="Times New Roman" w:hAnsi="Times New Roman" w:eastAsia="Times New Roman" w:cs="Times New Roman"/>
      <w:sz w:val="24"/>
      <w:szCs w:val="24"/>
      <w:lang w:val="en-US" w:eastAsia="zh-CN" w:bidi="ar-SA"/>
    </w:rPr>
  </w:style>
  <w:style w:type="paragraph" w:customStyle="1" w:styleId="98">
    <w:name w:val="TOC 标题1"/>
    <w:basedOn w:val="5"/>
    <w:next w:val="1"/>
    <w:qFormat/>
    <w:uiPriority w:val="39"/>
    <w:pPr>
      <w:spacing w:before="480" w:after="0" w:line="276" w:lineRule="auto"/>
      <w:outlineLvl w:val="9"/>
    </w:pPr>
    <w:rPr>
      <w:rFonts w:ascii="Cambria" w:hAnsi="Cambria"/>
      <w:color w:val="365F91"/>
      <w:kern w:val="0"/>
      <w:sz w:val="28"/>
    </w:rPr>
  </w:style>
  <w:style w:type="paragraph" w:customStyle="1" w:styleId="99">
    <w:name w:val="列出段落1"/>
    <w:basedOn w:val="1"/>
    <w:qFormat/>
    <w:uiPriority w:val="34"/>
    <w:pPr>
      <w:ind w:firstLine="420" w:firstLineChars="200"/>
    </w:pPr>
    <w:rPr>
      <w:rFonts w:ascii="Calibri" w:hAnsi="Calibri" w:eastAsia="宋体" w:cs="Times New Roman"/>
    </w:rPr>
  </w:style>
  <w:style w:type="paragraph" w:customStyle="1" w:styleId="100">
    <w:name w:val="正文_2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1">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2">
    <w:name w:val="引用 Char1"/>
    <w:basedOn w:val="39"/>
    <w:qFormat/>
    <w:uiPriority w:val="29"/>
    <w:rPr>
      <w:i/>
      <w:iCs/>
      <w:color w:val="000000" w:themeColor="text1"/>
    </w:rPr>
  </w:style>
  <w:style w:type="character" w:customStyle="1" w:styleId="103">
    <w:name w:val="明显引用 Char1"/>
    <w:basedOn w:val="39"/>
    <w:qFormat/>
    <w:uiPriority w:val="30"/>
    <w:rPr>
      <w:b/>
      <w:bCs/>
      <w:i/>
      <w:iCs/>
      <w:color w:val="4F81BD" w:themeColor="accent1"/>
    </w:rPr>
  </w:style>
  <w:style w:type="paragraph" w:customStyle="1" w:styleId="104">
    <w:name w:val="正文_2"/>
    <w:next w:val="105"/>
    <w:qFormat/>
    <w:uiPriority w:val="0"/>
    <w:pPr>
      <w:spacing w:before="120" w:after="120" w:line="360" w:lineRule="auto"/>
      <w:ind w:left="1639" w:hanging="1072"/>
      <w:jc w:val="both"/>
    </w:pPr>
    <w:rPr>
      <w:rFonts w:ascii="Calibri" w:hAnsi="Calibri" w:eastAsia="宋体" w:cs="Times New Roman"/>
      <w:kern w:val="2"/>
      <w:sz w:val="21"/>
      <w:szCs w:val="22"/>
      <w:lang w:val="en-US" w:eastAsia="zh-CN" w:bidi="ar-SA"/>
    </w:rPr>
  </w:style>
  <w:style w:type="paragraph" w:customStyle="1" w:styleId="105">
    <w:name w:val="正文文本_0"/>
    <w:basedOn w:val="104"/>
    <w:semiHidden/>
    <w:qFormat/>
    <w:uiPriority w:val="0"/>
  </w:style>
  <w:style w:type="character" w:customStyle="1" w:styleId="106">
    <w:name w:val="font71"/>
    <w:basedOn w:val="39"/>
    <w:qFormat/>
    <w:uiPriority w:val="0"/>
    <w:rPr>
      <w:rFonts w:hint="eastAsia" w:ascii="宋体" w:hAnsi="宋体" w:eastAsia="宋体" w:cs="宋体"/>
      <w:color w:val="000000"/>
      <w:sz w:val="16"/>
      <w:szCs w:val="16"/>
      <w:u w:val="none"/>
    </w:rPr>
  </w:style>
  <w:style w:type="character" w:customStyle="1" w:styleId="107">
    <w:name w:val="font41"/>
    <w:basedOn w:val="39"/>
    <w:qFormat/>
    <w:uiPriority w:val="0"/>
    <w:rPr>
      <w:rFonts w:hint="eastAsia" w:ascii="宋体" w:hAnsi="宋体" w:eastAsia="宋体" w:cs="宋体"/>
      <w:b/>
      <w:color w:val="000000"/>
      <w:sz w:val="16"/>
      <w:szCs w:val="16"/>
      <w:u w:val="none"/>
    </w:rPr>
  </w:style>
  <w:style w:type="paragraph" w:customStyle="1" w:styleId="108">
    <w:name w:val="纯文本_0"/>
    <w:basedOn w:val="77"/>
    <w:qFormat/>
    <w:uiPriority w:val="0"/>
    <w:pPr>
      <w:jc w:val="left"/>
    </w:pPr>
    <w:rPr>
      <w:rFonts w:ascii="宋体" w:hAnsi="Courier New" w:eastAsia="等线"/>
      <w:szCs w:val="21"/>
    </w:rPr>
  </w:style>
  <w:style w:type="paragraph" w:customStyle="1" w:styleId="109">
    <w:name w:val="正文缩进_1"/>
    <w:basedOn w:val="77"/>
    <w:unhideWhenUsed/>
    <w:qFormat/>
    <w:uiPriority w:val="0"/>
    <w:pPr>
      <w:ind w:firstLine="420" w:firstLineChars="200"/>
      <w:jc w:val="left"/>
    </w:pPr>
  </w:style>
  <w:style w:type="paragraph" w:customStyle="1" w:styleId="110">
    <w:name w:val="正文文本缩进_0"/>
    <w:basedOn w:val="77"/>
    <w:qFormat/>
    <w:uiPriority w:val="0"/>
    <w:pPr>
      <w:ind w:firstLine="830" w:firstLineChars="352"/>
      <w:jc w:val="left"/>
    </w:pPr>
    <w:rPr>
      <w:rFonts w:ascii="仿宋_GB2312" w:hAnsi="等线" w:eastAsia="仿宋_GB2312"/>
      <w:sz w:val="32"/>
      <w:szCs w:val="20"/>
    </w:rPr>
  </w:style>
  <w:style w:type="paragraph" w:customStyle="1" w:styleId="111">
    <w:name w:val="标题 2_0_0"/>
    <w:basedOn w:val="67"/>
    <w:next w:val="67"/>
    <w:qFormat/>
    <w:uiPriority w:val="0"/>
    <w:pPr>
      <w:keepNext/>
      <w:keepLines/>
      <w:jc w:val="center"/>
      <w:outlineLvl w:val="1"/>
    </w:pPr>
    <w:rPr>
      <w:rFonts w:ascii="Times New Roman" w:hAnsi="Times New Roman"/>
      <w:b/>
      <w:bCs/>
      <w:kern w:val="0"/>
      <w:sz w:val="44"/>
      <w:szCs w:val="32"/>
    </w:rPr>
  </w:style>
  <w:style w:type="character" w:customStyle="1" w:styleId="112">
    <w:name w:val="disabled"/>
    <w:basedOn w:val="39"/>
    <w:qFormat/>
    <w:uiPriority w:val="0"/>
    <w:rPr>
      <w:color w:val="DDDDDD"/>
      <w:bdr w:val="single" w:color="EEEEEE" w:sz="6" w:space="0"/>
    </w:rPr>
  </w:style>
  <w:style w:type="character" w:customStyle="1" w:styleId="113">
    <w:name w:val="current"/>
    <w:basedOn w:val="39"/>
    <w:qFormat/>
    <w:uiPriority w:val="0"/>
    <w:rPr>
      <w:b/>
      <w:color w:val="FFFFFF"/>
      <w:shd w:val="clear" w:color="auto" w:fill="E11121"/>
    </w:rPr>
  </w:style>
  <w:style w:type="character" w:customStyle="1" w:styleId="114">
    <w:name w:val="ui-pg-cp"/>
    <w:basedOn w:val="39"/>
    <w:qFormat/>
    <w:uiPriority w:val="0"/>
    <w:rPr>
      <w:color w:val="FF0000"/>
    </w:rPr>
  </w:style>
  <w:style w:type="paragraph" w:customStyle="1" w:styleId="115">
    <w:name w:val="Normal_0"/>
    <w:qFormat/>
    <w:uiPriority w:val="0"/>
    <w:pPr>
      <w:spacing w:line="384" w:lineRule="auto"/>
    </w:pPr>
    <w:rPr>
      <w:rFonts w:ascii="宋体" w:hAnsi="宋体" w:eastAsia="宋体" w:cs="Times New Roman"/>
      <w:sz w:val="24"/>
      <w:szCs w:val="24"/>
      <w:lang w:val="en-US" w:eastAsia="zh-CN" w:bidi="ar-SA"/>
    </w:rPr>
  </w:style>
  <w:style w:type="paragraph" w:customStyle="1" w:styleId="116">
    <w:name w:val="普通(网站)_0"/>
    <w:basedOn w:val="1"/>
    <w:qFormat/>
    <w:uiPriority w:val="0"/>
    <w:pPr>
      <w:widowControl/>
      <w:spacing w:beforeAutospacing="1" w:afterAutospacing="1"/>
      <w:jc w:val="left"/>
    </w:pPr>
    <w:rPr>
      <w:rFonts w:hint="eastAsia" w:ascii="宋体" w:hAnsi="宋体" w:eastAsia="宋体" w:cs="Times New Roman"/>
      <w:kern w:val="0"/>
      <w:sz w:val="24"/>
      <w:szCs w:val="24"/>
    </w:rPr>
  </w:style>
  <w:style w:type="character" w:customStyle="1" w:styleId="117">
    <w:name w:val="标题 4 字符"/>
    <w:basedOn w:val="39"/>
    <w:qFormat/>
    <w:uiPriority w:val="0"/>
    <w:rPr>
      <w:rFonts w:hint="default" w:ascii="Arial" w:hAnsi="Arial" w:eastAsia="黑体" w:cs="Arial"/>
      <w:b/>
      <w:kern w:val="2"/>
      <w:sz w:val="28"/>
      <w:szCs w:val="28"/>
    </w:rPr>
  </w:style>
  <w:style w:type="paragraph" w:customStyle="1" w:styleId="118">
    <w:name w:val="标题 4_1"/>
    <w:basedOn w:val="1"/>
    <w:next w:val="1"/>
    <w:qFormat/>
    <w:uiPriority w:val="0"/>
    <w:pPr>
      <w:keepNext/>
      <w:keepLines/>
      <w:spacing w:before="280" w:after="290" w:line="374" w:lineRule="auto"/>
      <w:outlineLvl w:val="3"/>
    </w:pPr>
    <w:rPr>
      <w:rFonts w:ascii="Arial" w:hAnsi="Arial" w:eastAsia="黑体" w:cs="Times New Roman"/>
      <w:b/>
      <w:sz w:val="28"/>
      <w:szCs w:val="28"/>
    </w:rPr>
  </w:style>
  <w:style w:type="paragraph" w:customStyle="1" w:styleId="119">
    <w:name w:val="_Style 114"/>
    <w:basedOn w:val="1"/>
    <w:next w:val="1"/>
    <w:qFormat/>
    <w:uiPriority w:val="0"/>
    <w:pPr>
      <w:pBdr>
        <w:bottom w:val="single" w:color="auto" w:sz="6" w:space="1"/>
      </w:pBdr>
      <w:jc w:val="center"/>
    </w:pPr>
    <w:rPr>
      <w:rFonts w:ascii="Arial" w:eastAsia="宋体"/>
      <w:vanish/>
      <w:sz w:val="16"/>
    </w:rPr>
  </w:style>
  <w:style w:type="paragraph" w:customStyle="1" w:styleId="120">
    <w:name w:val="_Style 115"/>
    <w:basedOn w:val="1"/>
    <w:next w:val="1"/>
    <w:qFormat/>
    <w:uiPriority w:val="0"/>
    <w:pPr>
      <w:pBdr>
        <w:top w:val="single" w:color="auto" w:sz="6" w:space="1"/>
      </w:pBdr>
      <w:jc w:val="center"/>
    </w:pPr>
    <w:rPr>
      <w:rFonts w:ascii="Arial" w:eastAsia="宋体"/>
      <w:vanish/>
      <w:sz w:val="16"/>
    </w:rPr>
  </w:style>
  <w:style w:type="character" w:customStyle="1" w:styleId="121">
    <w:name w:val="文档结构图 Char"/>
    <w:basedOn w:val="39"/>
    <w:link w:val="17"/>
    <w:semiHidden/>
    <w:qFormat/>
    <w:uiPriority w:val="99"/>
    <w:rPr>
      <w:rFonts w:ascii="宋体" w:hAnsiTheme="minorHAnsi" w:cstheme="minorBidi"/>
      <w:kern w:val="2"/>
      <w:sz w:val="18"/>
      <w:szCs w:val="18"/>
    </w:rPr>
  </w:style>
  <w:style w:type="table" w:customStyle="1" w:styleId="122">
    <w:name w:val="Table Normal"/>
    <w:unhideWhenUsed/>
    <w:qFormat/>
    <w:uiPriority w:val="2"/>
    <w:pPr>
      <w:widowControl w:val="0"/>
    </w:pPr>
    <w:rPr>
      <w:sz w:val="22"/>
      <w:szCs w:val="22"/>
      <w:lang w:eastAsia="en-US"/>
    </w:rPr>
    <w:tblPr>
      <w:tblCellMar>
        <w:top w:w="0" w:type="dxa"/>
        <w:left w:w="0" w:type="dxa"/>
        <w:bottom w:w="0" w:type="dxa"/>
        <w:right w:w="0" w:type="dxa"/>
      </w:tblCellMar>
    </w:tblPr>
  </w:style>
  <w:style w:type="paragraph" w:customStyle="1" w:styleId="123">
    <w:name w:val="Table Paragraph"/>
    <w:basedOn w:val="1"/>
    <w:qFormat/>
    <w:uiPriority w:val="1"/>
    <w:pPr>
      <w:jc w:val="left"/>
    </w:pPr>
    <w:rPr>
      <w:kern w:val="0"/>
      <w:sz w:val="22"/>
      <w:lang w:eastAsia="en-US"/>
    </w:rPr>
  </w:style>
  <w:style w:type="paragraph" w:customStyle="1" w:styleId="124">
    <w:name w:val="标题 21"/>
    <w:basedOn w:val="1"/>
    <w:qFormat/>
    <w:uiPriority w:val="1"/>
    <w:pPr>
      <w:ind w:left="164"/>
      <w:outlineLvl w:val="2"/>
    </w:pPr>
    <w:rPr>
      <w:rFonts w:ascii="宋体" w:hAnsi="宋体" w:eastAsia="宋体"/>
      <w:b/>
      <w:bCs/>
      <w:sz w:val="36"/>
      <w:szCs w:val="36"/>
    </w:rPr>
  </w:style>
  <w:style w:type="paragraph" w:customStyle="1" w:styleId="125">
    <w:name w:val="MsoNormal"/>
    <w:basedOn w:val="115"/>
    <w:uiPriority w:val="0"/>
    <w:rPr>
      <w:rFonts w:ascii="Calibri" w:hAnsi="Calibri" w:eastAsia="Calibri" w:cs="Calibri"/>
      <w:sz w:val="21"/>
    </w:rPr>
  </w:style>
  <w:style w:type="paragraph" w:customStyle="1" w:styleId="126">
    <w:name w:val="p20"/>
    <w:basedOn w:val="71"/>
    <w:qFormat/>
    <w:uiPriority w:val="0"/>
    <w:pPr>
      <w:widowControl/>
    </w:pPr>
    <w:rPr>
      <w:rFonts w:ascii="宋体" w:hAnsi="宋体"/>
      <w:kern w:val="0"/>
      <w:szCs w:val="20"/>
    </w:rPr>
  </w:style>
  <w:style w:type="paragraph" w:customStyle="1" w:styleId="127">
    <w:name w:val="正文_0_0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AFAE1A-B2DA-4004-A08D-F470CF63D3C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76</Pages>
  <Words>6851</Words>
  <Characters>39057</Characters>
  <Lines>325</Lines>
  <Paragraphs>91</Paragraphs>
  <TotalTime>1</TotalTime>
  <ScaleCrop>false</ScaleCrop>
  <LinksUpToDate>false</LinksUpToDate>
  <CharactersWithSpaces>45817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2018-11-23T01:04:00Z</dcterms:created>
  <dc:creator>NTKO</dc:creator>
  <cp:lastModifiedBy>蓅硰</cp:lastModifiedBy>
  <cp:lastPrinted>2019-01-19T01:56:00Z</cp:lastPrinted>
  <dcterms:modified xsi:type="dcterms:W3CDTF">2020-12-28T00:53:46Z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